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789" w:type="dxa"/>
        <w:tblLook w:val="0000" w:firstRow="0" w:lastRow="0" w:firstColumn="0" w:lastColumn="0" w:noHBand="0" w:noVBand="0"/>
        <w:tblCaption w:val="Cabinet report summary details"/>
      </w:tblPr>
      <w:tblGrid>
        <w:gridCol w:w="3397"/>
        <w:gridCol w:w="5392"/>
      </w:tblGrid>
      <w:tr w:rsidR="00333FAA" w14:paraId="322EF0DF" w14:textId="77777777" w:rsidTr="0039144D">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39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39144D">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392" w:type="dxa"/>
            <w:tcBorders>
              <w:top w:val="single" w:sz="18" w:space="0" w:color="auto"/>
            </w:tcBorders>
          </w:tcPr>
          <w:p w14:paraId="72FCD075" w14:textId="482DAA71" w:rsidR="00333FAA" w:rsidRPr="005E3A10" w:rsidRDefault="0036001B" w:rsidP="00A53B04">
            <w:pPr>
              <w:rPr>
                <w:rFonts w:cs="Arial"/>
                <w:szCs w:val="24"/>
              </w:rPr>
            </w:pPr>
            <w:r>
              <w:rPr>
                <w:rFonts w:cs="Arial"/>
                <w:szCs w:val="24"/>
              </w:rPr>
              <w:t>9</w:t>
            </w:r>
            <w:r w:rsidRPr="0036001B">
              <w:rPr>
                <w:rFonts w:cs="Arial"/>
                <w:szCs w:val="24"/>
                <w:vertAlign w:val="superscript"/>
              </w:rPr>
              <w:t>th</w:t>
            </w:r>
            <w:r>
              <w:rPr>
                <w:rFonts w:cs="Arial"/>
                <w:szCs w:val="24"/>
              </w:rPr>
              <w:t xml:space="preserve"> December 2021</w:t>
            </w:r>
          </w:p>
        </w:tc>
      </w:tr>
      <w:tr w:rsidR="00333FAA" w14:paraId="3CC97725" w14:textId="77777777" w:rsidTr="0039144D">
        <w:tc>
          <w:tcPr>
            <w:tcW w:w="339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392" w:type="dxa"/>
          </w:tcPr>
          <w:p w14:paraId="3F4D2F6C" w14:textId="74B00FBE" w:rsidR="00FD4E2A" w:rsidRDefault="00FD4E2A" w:rsidP="00FD4E2A">
            <w:pPr>
              <w:rPr>
                <w:rFonts w:cs="Arial"/>
                <w:szCs w:val="24"/>
              </w:rPr>
            </w:pPr>
            <w:r>
              <w:rPr>
                <w:rFonts w:cs="Arial"/>
                <w:szCs w:val="24"/>
              </w:rPr>
              <w:t xml:space="preserve">Treasury Management </w:t>
            </w:r>
            <w:r w:rsidR="00D2728C">
              <w:rPr>
                <w:rFonts w:cs="Arial"/>
                <w:szCs w:val="24"/>
              </w:rPr>
              <w:t>Mid-Year</w:t>
            </w:r>
            <w:r>
              <w:rPr>
                <w:rFonts w:cs="Arial"/>
                <w:szCs w:val="24"/>
              </w:rPr>
              <w:t xml:space="preserve"> Report 2021/22</w:t>
            </w:r>
          </w:p>
          <w:p w14:paraId="6D8FB2C1" w14:textId="77777777" w:rsidR="00333FAA" w:rsidRPr="005E3A10" w:rsidRDefault="00333FAA" w:rsidP="00A53B04">
            <w:pPr>
              <w:rPr>
                <w:rFonts w:cs="Arial"/>
                <w:szCs w:val="24"/>
              </w:rPr>
            </w:pPr>
          </w:p>
        </w:tc>
      </w:tr>
      <w:tr w:rsidR="00333FAA" w14:paraId="32449166" w14:textId="77777777" w:rsidTr="0039144D">
        <w:tc>
          <w:tcPr>
            <w:tcW w:w="339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392" w:type="dxa"/>
          </w:tcPr>
          <w:p w14:paraId="6D1B2CD3" w14:textId="372F5791" w:rsidR="001C7E35" w:rsidRPr="005E3A10" w:rsidRDefault="001C7E35" w:rsidP="001C7E35">
            <w:pPr>
              <w:pStyle w:val="Infotext"/>
              <w:rPr>
                <w:rFonts w:cs="Arial"/>
                <w:sz w:val="24"/>
                <w:szCs w:val="24"/>
              </w:rPr>
            </w:pPr>
            <w:r w:rsidRPr="005E3A10">
              <w:rPr>
                <w:rFonts w:cs="Arial"/>
                <w:sz w:val="24"/>
                <w:szCs w:val="24"/>
              </w:rPr>
              <w:t>No</w:t>
            </w:r>
          </w:p>
          <w:p w14:paraId="3EADF2B3" w14:textId="77777777" w:rsidR="00333FAA" w:rsidRPr="005E3A10" w:rsidRDefault="00333FAA" w:rsidP="00FD4E2A">
            <w:pPr>
              <w:pStyle w:val="Infotext"/>
              <w:rPr>
                <w:rFonts w:cs="Arial"/>
                <w:szCs w:val="24"/>
              </w:rPr>
            </w:pPr>
          </w:p>
        </w:tc>
      </w:tr>
      <w:tr w:rsidR="001C7E35" w14:paraId="79E96200" w14:textId="77777777" w:rsidTr="0039144D">
        <w:tc>
          <w:tcPr>
            <w:tcW w:w="3397"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392" w:type="dxa"/>
          </w:tcPr>
          <w:p w14:paraId="40370E90" w14:textId="77777777" w:rsidR="00FD4E2A" w:rsidRDefault="00FD4E2A" w:rsidP="00FD4E2A">
            <w:pPr>
              <w:pStyle w:val="Infotext"/>
              <w:rPr>
                <w:rFonts w:cs="Arial"/>
                <w:sz w:val="24"/>
                <w:szCs w:val="24"/>
              </w:rPr>
            </w:pPr>
            <w:r>
              <w:rPr>
                <w:rFonts w:cs="Arial"/>
                <w:sz w:val="24"/>
                <w:szCs w:val="24"/>
              </w:rPr>
              <w:t>Dawn Calvert, Director of Finance and Assurance</w:t>
            </w:r>
          </w:p>
          <w:p w14:paraId="3798BF23" w14:textId="77777777" w:rsidR="001C7E35" w:rsidRPr="005E3A10" w:rsidRDefault="001C7E35" w:rsidP="00D835CF">
            <w:pPr>
              <w:pStyle w:val="Infotext"/>
              <w:rPr>
                <w:rFonts w:cs="Arial"/>
                <w:sz w:val="24"/>
                <w:szCs w:val="24"/>
              </w:rPr>
            </w:pPr>
          </w:p>
        </w:tc>
      </w:tr>
      <w:tr w:rsidR="001C7E35" w14:paraId="3B6FD8B1" w14:textId="77777777" w:rsidTr="0039144D">
        <w:tc>
          <w:tcPr>
            <w:tcW w:w="3397"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392" w:type="dxa"/>
          </w:tcPr>
          <w:p w14:paraId="7E8D9A88" w14:textId="77777777" w:rsidR="001C7E35" w:rsidRDefault="00FD4E2A" w:rsidP="00D835CF">
            <w:pPr>
              <w:pStyle w:val="Infotext"/>
              <w:rPr>
                <w:rFonts w:cs="Arial"/>
                <w:sz w:val="24"/>
                <w:szCs w:val="24"/>
              </w:rPr>
            </w:pPr>
            <w:r w:rsidRPr="00FD4E2A">
              <w:rPr>
                <w:rFonts w:cs="Arial"/>
                <w:sz w:val="24"/>
                <w:szCs w:val="24"/>
              </w:rPr>
              <w:t>Councillor Natasha Proctor, Deputy Leader and Portfolio Holder for Finance and Resources</w:t>
            </w:r>
          </w:p>
          <w:p w14:paraId="39A9A01A" w14:textId="6092E5FA" w:rsidR="00FD4E2A" w:rsidRPr="005E3A10" w:rsidRDefault="00FD4E2A" w:rsidP="00D835CF">
            <w:pPr>
              <w:pStyle w:val="Infotext"/>
              <w:rPr>
                <w:rFonts w:cs="Arial"/>
                <w:color w:val="FF0000"/>
                <w:sz w:val="24"/>
                <w:szCs w:val="24"/>
              </w:rPr>
            </w:pPr>
          </w:p>
        </w:tc>
      </w:tr>
      <w:tr w:rsidR="001C7E35" w14:paraId="3CF618C8" w14:textId="77777777" w:rsidTr="0039144D">
        <w:tc>
          <w:tcPr>
            <w:tcW w:w="3397"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392" w:type="dxa"/>
          </w:tcPr>
          <w:p w14:paraId="34C65BD0" w14:textId="196E5722"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FD4E2A">
            <w:pPr>
              <w:pStyle w:val="Infotext"/>
              <w:rPr>
                <w:rFonts w:cs="Arial"/>
                <w:color w:val="FF0000"/>
                <w:sz w:val="24"/>
                <w:szCs w:val="24"/>
              </w:rPr>
            </w:pPr>
          </w:p>
        </w:tc>
      </w:tr>
      <w:tr w:rsidR="001C7E35" w14:paraId="577CD75A" w14:textId="77777777" w:rsidTr="0039144D">
        <w:tc>
          <w:tcPr>
            <w:tcW w:w="3397"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392" w:type="dxa"/>
          </w:tcPr>
          <w:p w14:paraId="4B40AAFF" w14:textId="3911736A" w:rsidR="001C7E35" w:rsidRPr="005E3A10" w:rsidRDefault="001C7E35" w:rsidP="00D835CF">
            <w:pPr>
              <w:pStyle w:val="Infotext"/>
              <w:rPr>
                <w:rFonts w:cs="Arial"/>
                <w:sz w:val="24"/>
                <w:szCs w:val="24"/>
              </w:rPr>
            </w:pPr>
            <w:r w:rsidRPr="005E3A10">
              <w:rPr>
                <w:rFonts w:cs="Arial"/>
                <w:sz w:val="24"/>
                <w:szCs w:val="24"/>
              </w:rPr>
              <w:t>No</w:t>
            </w:r>
          </w:p>
          <w:p w14:paraId="3A75E271" w14:textId="77777777" w:rsidR="00714BEE" w:rsidRPr="005E3A10" w:rsidRDefault="00714BEE" w:rsidP="00FD4E2A">
            <w:pPr>
              <w:rPr>
                <w:rFonts w:cs="Arial"/>
                <w:szCs w:val="24"/>
              </w:rPr>
            </w:pPr>
          </w:p>
        </w:tc>
      </w:tr>
      <w:tr w:rsidR="001C7E35" w14:paraId="7E5497E1" w14:textId="77777777" w:rsidTr="0039144D">
        <w:tc>
          <w:tcPr>
            <w:tcW w:w="3397"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392" w:type="dxa"/>
          </w:tcPr>
          <w:p w14:paraId="31D060B2" w14:textId="77777777" w:rsidR="00FD4E2A" w:rsidRDefault="00FD4E2A" w:rsidP="00FD4E2A">
            <w:pPr>
              <w:jc w:val="both"/>
              <w:rPr>
                <w:rFonts w:cs="Arial"/>
                <w:b/>
                <w:color w:val="FF0000"/>
                <w:szCs w:val="24"/>
              </w:rPr>
            </w:pPr>
            <w:r>
              <w:rPr>
                <w:rFonts w:cs="Arial"/>
                <w:szCs w:val="24"/>
              </w:rPr>
              <w:t>All wards</w:t>
            </w:r>
          </w:p>
          <w:p w14:paraId="52E38AE7" w14:textId="0E035B40" w:rsidR="00307F76" w:rsidRPr="00307F76" w:rsidRDefault="00307F76" w:rsidP="00D835CF">
            <w:pPr>
              <w:rPr>
                <w:rFonts w:cs="Arial"/>
                <w:b/>
                <w:color w:val="FF0000"/>
                <w:szCs w:val="24"/>
              </w:rPr>
            </w:pPr>
          </w:p>
        </w:tc>
      </w:tr>
      <w:tr w:rsidR="001C7E35" w14:paraId="5F1445BF" w14:textId="77777777" w:rsidTr="0039144D">
        <w:tc>
          <w:tcPr>
            <w:tcW w:w="3397"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392" w:type="dxa"/>
          </w:tcPr>
          <w:p w14:paraId="727044F7" w14:textId="3D2E768F" w:rsidR="00FD4E2A" w:rsidRPr="0039144D" w:rsidRDefault="00FD4E2A" w:rsidP="00FD4E2A">
            <w:pPr>
              <w:rPr>
                <w:rFonts w:cs="Arial"/>
                <w:color w:val="000000" w:themeColor="text1"/>
              </w:rPr>
            </w:pPr>
            <w:r w:rsidRPr="0039144D">
              <w:rPr>
                <w:rFonts w:cs="Arial"/>
                <w:color w:val="000000" w:themeColor="text1"/>
              </w:rPr>
              <w:t xml:space="preserve">Appendix 1 Link Group Economic Commentary </w:t>
            </w:r>
          </w:p>
          <w:p w14:paraId="27C0E37B" w14:textId="4114535C" w:rsidR="0039144D" w:rsidRPr="0039144D" w:rsidRDefault="0039144D" w:rsidP="00FD4E2A">
            <w:pPr>
              <w:rPr>
                <w:rFonts w:cs="Arial"/>
                <w:color w:val="000000" w:themeColor="text1"/>
              </w:rPr>
            </w:pPr>
            <w:r w:rsidRPr="0039144D">
              <w:rPr>
                <w:rFonts w:cs="Arial"/>
                <w:color w:val="000000" w:themeColor="text1"/>
              </w:rPr>
              <w:t>Appendix 2 Borrowing and Investment Rate Summary 2021/22</w:t>
            </w:r>
          </w:p>
          <w:p w14:paraId="6668D730" w14:textId="4F2FA8EC" w:rsidR="001C7E35" w:rsidRPr="005E3A10" w:rsidRDefault="001C7E35" w:rsidP="00FD4E2A">
            <w:pPr>
              <w:rPr>
                <w:color w:val="FF0000"/>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49B8A4C1" w:rsidR="001C7E35" w:rsidRPr="00D57DE9" w:rsidRDefault="001C7E35" w:rsidP="00605A4C">
            <w:r w:rsidRPr="00D57DE9">
              <w:t xml:space="preserve">This report </w:t>
            </w:r>
            <w:r w:rsidR="00D57DE9" w:rsidRPr="00D57DE9">
              <w:t>provides</w:t>
            </w:r>
            <w:r w:rsidR="00FD4E2A" w:rsidRPr="00D57DE9">
              <w:t xml:space="preserve"> a</w:t>
            </w:r>
            <w:r w:rsidR="00D57DE9" w:rsidRPr="00D57DE9">
              <w:t xml:space="preserve"> Mid-Year R</w:t>
            </w:r>
            <w:r w:rsidR="00FD4E2A" w:rsidRPr="00D57DE9">
              <w:t>eview of the</w:t>
            </w:r>
            <w:r w:rsidR="00D57DE9">
              <w:t xml:space="preserve"> Council’s</w:t>
            </w:r>
            <w:r w:rsidR="00FD4E2A" w:rsidRPr="00D57DE9">
              <w:t xml:space="preserve"> </w:t>
            </w:r>
            <w:r w:rsidR="00D57DE9" w:rsidRPr="00D57DE9">
              <w:t>Treasury Management activities in 2021/22 in compliance with the CIPFA Treasury Management Code of Practice.</w:t>
            </w:r>
            <w:r w:rsidR="00FD4E2A" w:rsidRPr="00D57DE9">
              <w:t xml:space="preserve"> </w:t>
            </w:r>
            <w:r w:rsidR="00DB6C3D" w:rsidRPr="00D57DE9">
              <w:t xml:space="preserve"> </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22B18FC6" w:rsidR="001C7E35" w:rsidRDefault="001C7E35" w:rsidP="00605A4C">
            <w:r>
              <w:t>Cabinet is requested to:</w:t>
            </w:r>
          </w:p>
          <w:p w14:paraId="10E55C00" w14:textId="3E3DD991" w:rsidR="00D57DE9" w:rsidRDefault="00D57DE9" w:rsidP="00605A4C"/>
          <w:p w14:paraId="242306F7" w14:textId="07BF0137" w:rsidR="00D57DE9" w:rsidRDefault="00D57DE9" w:rsidP="00337D90">
            <w:pPr>
              <w:pStyle w:val="ListParagraph"/>
              <w:numPr>
                <w:ilvl w:val="0"/>
                <w:numId w:val="2"/>
              </w:numPr>
            </w:pPr>
            <w:r>
              <w:t>Note the Treasury Management Mid-Year Review for 2021/22.</w:t>
            </w:r>
          </w:p>
          <w:p w14:paraId="6ECEE594" w14:textId="77777777" w:rsidR="00D57DE9" w:rsidRDefault="00D57DE9" w:rsidP="00D57DE9">
            <w:pPr>
              <w:pStyle w:val="ListParagraph"/>
            </w:pPr>
          </w:p>
          <w:p w14:paraId="124A5348" w14:textId="33A86A6C" w:rsidR="00D57DE9" w:rsidRPr="0039144D" w:rsidRDefault="00D57DE9" w:rsidP="00337D90">
            <w:pPr>
              <w:pStyle w:val="ListParagraph"/>
              <w:numPr>
                <w:ilvl w:val="0"/>
                <w:numId w:val="2"/>
              </w:numPr>
            </w:pPr>
            <w:r w:rsidRPr="0039144D">
              <w:t>Refer this report to the Governance, Audit, Risk Management and Standards Committee for review.</w:t>
            </w:r>
            <w:r w:rsidR="0039144D" w:rsidRPr="0039144D">
              <w:t xml:space="preserve"> </w:t>
            </w:r>
          </w:p>
          <w:p w14:paraId="130A1D51" w14:textId="77777777" w:rsidR="00591016" w:rsidRDefault="00591016" w:rsidP="00605A4C"/>
          <w:p w14:paraId="50FCEBD4" w14:textId="0AF9339B" w:rsidR="00333FAA" w:rsidRDefault="00E13BEF" w:rsidP="00D57DE9">
            <w:pPr>
              <w:pStyle w:val="Heading3"/>
              <w:ind w:left="0" w:firstLine="0"/>
              <w:jc w:val="left"/>
            </w:pPr>
            <w:r>
              <w:t>Reason</w:t>
            </w:r>
            <w:r w:rsidR="008C2C66">
              <w:t>: (</w:t>
            </w:r>
            <w:r>
              <w:t>f</w:t>
            </w:r>
            <w:r w:rsidR="001C7E35" w:rsidRPr="00605A4C">
              <w:t>or recommendation</w:t>
            </w:r>
            <w:r w:rsidR="00714BEE" w:rsidRPr="00605A4C">
              <w:t>s</w:t>
            </w:r>
            <w:r w:rsidR="001C7E35" w:rsidRPr="00605A4C">
              <w:t>)</w:t>
            </w:r>
            <w:r w:rsidR="00F91AE4">
              <w:t xml:space="preserve"> </w:t>
            </w:r>
            <w:r w:rsidR="001C7E35">
              <w:t xml:space="preserve"> </w:t>
            </w:r>
          </w:p>
          <w:p w14:paraId="55C3A6F3" w14:textId="77777777" w:rsidR="00D57DE9" w:rsidRPr="00D57DE9" w:rsidRDefault="00D57DE9" w:rsidP="00D57DE9"/>
          <w:p w14:paraId="46CBF028" w14:textId="72E6A33B" w:rsidR="00D57DE9" w:rsidRDefault="00D57DE9" w:rsidP="00337D90">
            <w:pPr>
              <w:numPr>
                <w:ilvl w:val="0"/>
                <w:numId w:val="3"/>
              </w:numPr>
              <w:jc w:val="both"/>
            </w:pPr>
            <w:r>
              <w:t>To promote effective financial management and comply with regulations issued under the Local Government Act 2003, the CIPFA Code of Practice on Treasury Management, and the CIPFA Prudential Code for Capital Finance, along with meeting the requirements of the Council’s Financial Regulations.</w:t>
            </w:r>
          </w:p>
          <w:p w14:paraId="18C90454" w14:textId="77777777" w:rsidR="00D57DE9" w:rsidRDefault="00D57DE9" w:rsidP="00D57DE9">
            <w:pPr>
              <w:ind w:left="720"/>
              <w:jc w:val="both"/>
            </w:pPr>
          </w:p>
          <w:p w14:paraId="72B7BD2A" w14:textId="0F5B223E" w:rsidR="00D57DE9" w:rsidRDefault="00D57DE9" w:rsidP="00337D90">
            <w:pPr>
              <w:numPr>
                <w:ilvl w:val="0"/>
                <w:numId w:val="3"/>
              </w:numPr>
              <w:jc w:val="both"/>
            </w:pPr>
            <w:r>
              <w:t>To keep Members informed of Treasury Management activities and performance</w:t>
            </w:r>
            <w:r w:rsidR="00B4145A">
              <w:t xml:space="preserve"> to date</w:t>
            </w:r>
            <w:r>
              <w:t xml:space="preserve"> for 202</w:t>
            </w:r>
            <w:r w:rsidR="00B4145A">
              <w:t>1</w:t>
            </w:r>
            <w:r>
              <w:t>/2</w:t>
            </w:r>
            <w:r w:rsidR="00B4145A">
              <w:t>2</w:t>
            </w:r>
            <w:r>
              <w:t>.</w:t>
            </w:r>
          </w:p>
          <w:p w14:paraId="313BC81E" w14:textId="11EFFCE2" w:rsidR="00D57DE9" w:rsidRPr="00D57DE9" w:rsidRDefault="00D57DE9" w:rsidP="00D57DE9"/>
        </w:tc>
      </w:tr>
    </w:tbl>
    <w:p w14:paraId="0204F38A" w14:textId="77777777" w:rsidR="00333FAA" w:rsidRDefault="00333FAA" w:rsidP="00F06E4E">
      <w:pPr>
        <w:pStyle w:val="Heading2"/>
        <w:spacing w:before="480"/>
      </w:pPr>
      <w:r>
        <w:t>Section 2 – Report</w:t>
      </w:r>
    </w:p>
    <w:p w14:paraId="76168D48" w14:textId="30CD05A2" w:rsidR="001C7E35" w:rsidRDefault="001C7E35" w:rsidP="00337D90">
      <w:pPr>
        <w:pStyle w:val="Heading3"/>
        <w:numPr>
          <w:ilvl w:val="0"/>
          <w:numId w:val="19"/>
        </w:numPr>
        <w:spacing w:before="240"/>
        <w:ind w:left="0" w:hanging="567"/>
      </w:pPr>
      <w:r>
        <w:t>Introduct</w:t>
      </w:r>
      <w:r w:rsidR="00F50081">
        <w:t>ion</w:t>
      </w:r>
    </w:p>
    <w:p w14:paraId="1E33E790" w14:textId="77777777" w:rsidR="00A352F2" w:rsidRDefault="00A352F2" w:rsidP="00B4145A">
      <w:pPr>
        <w:jc w:val="both"/>
      </w:pPr>
    </w:p>
    <w:p w14:paraId="7467963A" w14:textId="1AF08D37" w:rsidR="00610C63" w:rsidRPr="00A871A5" w:rsidRDefault="00610C63" w:rsidP="00337D90">
      <w:pPr>
        <w:pStyle w:val="ListParagraph"/>
        <w:numPr>
          <w:ilvl w:val="0"/>
          <w:numId w:val="20"/>
        </w:numPr>
        <w:ind w:left="0" w:hanging="567"/>
        <w:jc w:val="both"/>
        <w:rPr>
          <w:rFonts w:cs="Arial"/>
          <w:bCs/>
          <w:szCs w:val="24"/>
        </w:rPr>
      </w:pPr>
      <w:r w:rsidRPr="00A871A5">
        <w:rPr>
          <w:rFonts w:cs="Arial"/>
          <w:bCs/>
          <w:szCs w:val="24"/>
        </w:rPr>
        <w:t>The purpose of this report is to update Members with the Council’s Treasury Management activity in 2021/22, presenting performance to 30</w:t>
      </w:r>
      <w:r w:rsidRPr="00A871A5">
        <w:rPr>
          <w:rFonts w:cs="Arial"/>
          <w:bCs/>
          <w:szCs w:val="24"/>
          <w:vertAlign w:val="superscript"/>
        </w:rPr>
        <w:t>th</w:t>
      </w:r>
      <w:r w:rsidRPr="00A871A5">
        <w:rPr>
          <w:rFonts w:cs="Arial"/>
          <w:bCs/>
          <w:szCs w:val="24"/>
        </w:rPr>
        <w:t xml:space="preserve"> September 2021 in accordance with the Council’s Treasury Management Practices and in compliance with the CIPFA Treasury Management Code of Practice.  The Council has complied with all elements of the Treasury Management Strategy Statement (TMSS) as the treasury management function.  </w:t>
      </w:r>
    </w:p>
    <w:p w14:paraId="44FB351E" w14:textId="77777777" w:rsidR="00610C63" w:rsidRDefault="00610C63" w:rsidP="00610C63">
      <w:pPr>
        <w:rPr>
          <w:rFonts w:cs="Arial"/>
          <w:color w:val="0000FF"/>
          <w:sz w:val="28"/>
          <w:szCs w:val="28"/>
        </w:rPr>
      </w:pPr>
    </w:p>
    <w:p w14:paraId="74319816" w14:textId="77777777" w:rsidR="00610C63" w:rsidRPr="00A352F2" w:rsidRDefault="00610C63" w:rsidP="00337D90">
      <w:pPr>
        <w:pStyle w:val="ListParagraph"/>
        <w:numPr>
          <w:ilvl w:val="0"/>
          <w:numId w:val="20"/>
        </w:numPr>
        <w:ind w:left="0" w:hanging="567"/>
        <w:jc w:val="both"/>
        <w:rPr>
          <w:rFonts w:cs="Arial"/>
          <w:bCs/>
          <w:szCs w:val="24"/>
        </w:rPr>
      </w:pPr>
      <w:r w:rsidRPr="00A352F2">
        <w:rPr>
          <w:rFonts w:cs="Arial"/>
          <w:bCs/>
          <w:szCs w:val="24"/>
        </w:rPr>
        <w:t>Treasury management comprises:</w:t>
      </w:r>
    </w:p>
    <w:p w14:paraId="2DA47C2E" w14:textId="77777777" w:rsidR="00610C63" w:rsidRDefault="00610C63" w:rsidP="00610C63">
      <w:pPr>
        <w:autoSpaceDE w:val="0"/>
        <w:autoSpaceDN w:val="0"/>
        <w:adjustRightInd w:val="0"/>
        <w:ind w:left="567" w:hanging="567"/>
        <w:jc w:val="both"/>
        <w:rPr>
          <w:rFonts w:cs="Arial"/>
          <w:szCs w:val="24"/>
          <w:lang w:eastAsia="en-GB"/>
        </w:rPr>
      </w:pPr>
    </w:p>
    <w:p w14:paraId="1A3CB1AD" w14:textId="01DEC081" w:rsidR="00610C63" w:rsidRDefault="00610C63" w:rsidP="00337D90">
      <w:pPr>
        <w:pStyle w:val="ListParagraph"/>
        <w:numPr>
          <w:ilvl w:val="0"/>
          <w:numId w:val="4"/>
        </w:numPr>
        <w:autoSpaceDE w:val="0"/>
        <w:autoSpaceDN w:val="0"/>
        <w:adjustRightInd w:val="0"/>
        <w:ind w:left="284" w:hanging="284"/>
        <w:jc w:val="both"/>
        <w:rPr>
          <w:rFonts w:cs="Arial"/>
          <w:szCs w:val="24"/>
          <w:lang w:eastAsia="en-GB"/>
        </w:rPr>
      </w:pPr>
      <w:r>
        <w:rPr>
          <w:rFonts w:cs="Arial"/>
          <w:szCs w:val="24"/>
          <w:lang w:eastAsia="en-GB"/>
        </w:rPr>
        <w:t xml:space="preserve">Managing </w:t>
      </w:r>
      <w:r>
        <w:rPr>
          <w:rFonts w:ascii="ArialMT" w:hAnsi="ArialMT" w:cs="ArialMT"/>
          <w:szCs w:val="24"/>
          <w:lang w:eastAsia="en-GB"/>
        </w:rPr>
        <w:t xml:space="preserve">the Council’s borrowing to ensure funding of the Council’s </w:t>
      </w:r>
      <w:r>
        <w:rPr>
          <w:rFonts w:cs="Arial"/>
          <w:szCs w:val="24"/>
          <w:lang w:eastAsia="en-GB"/>
        </w:rPr>
        <w:t>current and future Capital Programme is at optimal cost;</w:t>
      </w:r>
    </w:p>
    <w:p w14:paraId="2578FFD5" w14:textId="106518DB" w:rsidR="00610C63" w:rsidRDefault="00610C63" w:rsidP="00337D90">
      <w:pPr>
        <w:pStyle w:val="ListParagraph"/>
        <w:numPr>
          <w:ilvl w:val="0"/>
          <w:numId w:val="4"/>
        </w:numPr>
        <w:autoSpaceDE w:val="0"/>
        <w:autoSpaceDN w:val="0"/>
        <w:adjustRightInd w:val="0"/>
        <w:ind w:left="284" w:hanging="284"/>
        <w:jc w:val="both"/>
        <w:rPr>
          <w:rFonts w:cs="Arial"/>
          <w:szCs w:val="24"/>
          <w:lang w:eastAsia="en-GB"/>
        </w:rPr>
      </w:pPr>
      <w:r w:rsidRPr="00B34EFD">
        <w:rPr>
          <w:rFonts w:cs="Arial"/>
          <w:szCs w:val="24"/>
          <w:lang w:eastAsia="en-GB"/>
        </w:rPr>
        <w:t>Investing surplus cash balances arising from the day-to-day operations of the Council to obtain an optimal return while ensuring security of capital and liquidity</w:t>
      </w:r>
      <w:r w:rsidR="00C5012C">
        <w:rPr>
          <w:rFonts w:cs="Arial"/>
          <w:szCs w:val="24"/>
          <w:lang w:eastAsia="en-GB"/>
        </w:rPr>
        <w:t>.</w:t>
      </w:r>
    </w:p>
    <w:p w14:paraId="2DFB5AE2" w14:textId="77777777" w:rsidR="00610C63" w:rsidRDefault="00610C63" w:rsidP="00610C63">
      <w:pPr>
        <w:autoSpaceDE w:val="0"/>
        <w:autoSpaceDN w:val="0"/>
        <w:adjustRightInd w:val="0"/>
        <w:jc w:val="both"/>
        <w:rPr>
          <w:rFonts w:cs="Arial"/>
          <w:szCs w:val="24"/>
          <w:lang w:eastAsia="en-GB"/>
        </w:rPr>
      </w:pPr>
    </w:p>
    <w:p w14:paraId="1EDA550A" w14:textId="77777777" w:rsidR="00610C63" w:rsidRPr="00A352F2" w:rsidRDefault="00610C63" w:rsidP="00337D90">
      <w:pPr>
        <w:pStyle w:val="ListParagraph"/>
        <w:numPr>
          <w:ilvl w:val="0"/>
          <w:numId w:val="20"/>
        </w:numPr>
        <w:ind w:left="0" w:hanging="567"/>
        <w:jc w:val="both"/>
        <w:rPr>
          <w:rFonts w:cs="Arial"/>
          <w:bCs/>
          <w:szCs w:val="24"/>
        </w:rPr>
      </w:pPr>
      <w:r w:rsidRPr="00A352F2">
        <w:rPr>
          <w:rFonts w:cs="Arial"/>
          <w:bCs/>
          <w:szCs w:val="24"/>
        </w:rPr>
        <w:t xml:space="preserve">The annual revenue budget includes the revenue costs that flow from capital financing decisions. Under the CIPFA Treasury Management Code of Practice and the CIPFA Prudential Code, increases in capital expenditure should be </w:t>
      </w:r>
      <w:r w:rsidRPr="00A352F2">
        <w:rPr>
          <w:rFonts w:cs="Arial"/>
          <w:bCs/>
          <w:szCs w:val="24"/>
        </w:rPr>
        <w:lastRenderedPageBreak/>
        <w:t>limited to levels whereby increases in interest charges and running costs are affordable within the Council’s revenue account.</w:t>
      </w:r>
    </w:p>
    <w:p w14:paraId="38FD184E" w14:textId="77777777" w:rsidR="00610C63" w:rsidRDefault="00610C63" w:rsidP="00610C63">
      <w:pPr>
        <w:pStyle w:val="ListParagraph"/>
        <w:ind w:left="567"/>
        <w:jc w:val="both"/>
        <w:rPr>
          <w:rFonts w:cs="Arial"/>
          <w:iCs/>
          <w:szCs w:val="24"/>
        </w:rPr>
      </w:pPr>
    </w:p>
    <w:p w14:paraId="609A409A" w14:textId="77777777" w:rsidR="00610C63" w:rsidRPr="00A352F2" w:rsidRDefault="00610C63" w:rsidP="00337D90">
      <w:pPr>
        <w:pStyle w:val="ListParagraph"/>
        <w:numPr>
          <w:ilvl w:val="0"/>
          <w:numId w:val="20"/>
        </w:numPr>
        <w:ind w:left="0" w:hanging="567"/>
        <w:jc w:val="both"/>
        <w:rPr>
          <w:rFonts w:cs="Arial"/>
          <w:bCs/>
          <w:szCs w:val="24"/>
        </w:rPr>
      </w:pPr>
      <w:r w:rsidRPr="00A352F2">
        <w:rPr>
          <w:rFonts w:cs="Arial"/>
          <w:bCs/>
          <w:szCs w:val="24"/>
        </w:rPr>
        <w:t>The Council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to ensure the security and liquidity of the Council’s treasury investments.</w:t>
      </w:r>
    </w:p>
    <w:p w14:paraId="18AD2CBD" w14:textId="77777777" w:rsidR="00610C63" w:rsidRDefault="00610C63" w:rsidP="00610C63">
      <w:pPr>
        <w:pStyle w:val="ListParagraph"/>
        <w:ind w:left="567"/>
        <w:rPr>
          <w:rFonts w:cs="Arial"/>
          <w:bCs/>
          <w:szCs w:val="24"/>
        </w:rPr>
      </w:pPr>
    </w:p>
    <w:p w14:paraId="469A0B80" w14:textId="77777777" w:rsidR="00610C63" w:rsidRDefault="00610C63" w:rsidP="00337D90">
      <w:pPr>
        <w:pStyle w:val="ListParagraph"/>
        <w:numPr>
          <w:ilvl w:val="0"/>
          <w:numId w:val="20"/>
        </w:numPr>
        <w:ind w:left="0" w:hanging="567"/>
        <w:jc w:val="both"/>
        <w:rPr>
          <w:rFonts w:cs="Arial"/>
          <w:bCs/>
          <w:szCs w:val="24"/>
        </w:rPr>
      </w:pPr>
      <w:r>
        <w:rPr>
          <w:rFonts w:cs="Arial"/>
          <w:bCs/>
          <w:szCs w:val="24"/>
        </w:rPr>
        <w:t>The</w:t>
      </w:r>
      <w:r w:rsidRPr="00A352F2">
        <w:rPr>
          <w:rFonts w:cs="Arial"/>
          <w:bCs/>
          <w:szCs w:val="24"/>
        </w:rPr>
        <w:t xml:space="preserve"> Council recognises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the CIPFA Treasury Management Code of Practice.</w:t>
      </w:r>
    </w:p>
    <w:p w14:paraId="3AF99629" w14:textId="77777777" w:rsidR="00703C0E" w:rsidRPr="00F06E4E" w:rsidRDefault="00703C0E" w:rsidP="00333FAA">
      <w:pPr>
        <w:rPr>
          <w:rFonts w:cs="Arial"/>
          <w:color w:val="0000FF"/>
          <w:sz w:val="28"/>
          <w:szCs w:val="28"/>
        </w:rPr>
      </w:pPr>
    </w:p>
    <w:p w14:paraId="0E637316" w14:textId="01A10967" w:rsidR="00333FAA" w:rsidRDefault="0047091C" w:rsidP="00337D90">
      <w:pPr>
        <w:pStyle w:val="Heading2"/>
        <w:numPr>
          <w:ilvl w:val="0"/>
          <w:numId w:val="21"/>
        </w:numPr>
        <w:ind w:left="0" w:hanging="567"/>
        <w:rPr>
          <w:rFonts w:ascii="Arial" w:hAnsi="Arial"/>
          <w:color w:val="0000FF"/>
          <w:sz w:val="28"/>
          <w:szCs w:val="28"/>
        </w:rPr>
      </w:pPr>
      <w:r>
        <w:rPr>
          <w:rFonts w:ascii="Arial" w:hAnsi="Arial"/>
          <w:color w:val="0000FF"/>
          <w:sz w:val="28"/>
          <w:szCs w:val="28"/>
        </w:rPr>
        <w:t>Reporting Requirements</w:t>
      </w:r>
    </w:p>
    <w:p w14:paraId="19F254B7" w14:textId="00A8AEFA" w:rsidR="0047091C" w:rsidRDefault="0047091C" w:rsidP="0047091C"/>
    <w:p w14:paraId="68E88B75" w14:textId="77777777" w:rsidR="0047091C" w:rsidRPr="00A871A5" w:rsidRDefault="0047091C" w:rsidP="00337D90">
      <w:pPr>
        <w:pStyle w:val="ListParagraph"/>
        <w:numPr>
          <w:ilvl w:val="0"/>
          <w:numId w:val="21"/>
        </w:numPr>
        <w:ind w:left="0" w:hanging="567"/>
        <w:jc w:val="both"/>
        <w:rPr>
          <w:rFonts w:cs="Arial"/>
          <w:iCs/>
          <w:noProof/>
          <w:szCs w:val="24"/>
        </w:rPr>
      </w:pPr>
      <w:r w:rsidRPr="00A871A5">
        <w:rPr>
          <w:rFonts w:cs="Arial"/>
          <w:iCs/>
          <w:noProof/>
          <w:szCs w:val="24"/>
        </w:rPr>
        <w:t>The Council and/or Cabinet are required to receive and approve, as a minimum, three main reports each year, which incorporate a variety of policies, estimates and actuals.</w:t>
      </w:r>
    </w:p>
    <w:p w14:paraId="3C3AFA12" w14:textId="77777777" w:rsidR="0047091C" w:rsidRDefault="0047091C" w:rsidP="0047091C">
      <w:pPr>
        <w:pStyle w:val="ListParagraph"/>
        <w:tabs>
          <w:tab w:val="left" w:pos="567"/>
        </w:tabs>
        <w:ind w:hanging="720"/>
        <w:jc w:val="both"/>
        <w:rPr>
          <w:rFonts w:cs="Arial"/>
          <w:iCs/>
          <w:noProof/>
          <w:szCs w:val="24"/>
        </w:rPr>
      </w:pPr>
      <w:r w:rsidRPr="007D40C1">
        <w:rPr>
          <w:rFonts w:cs="Arial"/>
          <w:iCs/>
          <w:noProof/>
          <w:szCs w:val="24"/>
        </w:rPr>
        <w:t xml:space="preserve">  </w:t>
      </w:r>
    </w:p>
    <w:p w14:paraId="3D9853F7" w14:textId="4C7B7DF0" w:rsidR="0047091C" w:rsidRPr="00105BD0" w:rsidRDefault="0047091C" w:rsidP="00337D90">
      <w:pPr>
        <w:pStyle w:val="ListParagraph"/>
        <w:numPr>
          <w:ilvl w:val="0"/>
          <w:numId w:val="21"/>
        </w:numPr>
        <w:ind w:left="0" w:hanging="567"/>
        <w:jc w:val="both"/>
        <w:rPr>
          <w:rFonts w:cs="Arial"/>
          <w:iCs/>
          <w:noProof/>
          <w:szCs w:val="24"/>
        </w:rPr>
      </w:pPr>
      <w:r w:rsidRPr="00A871A5">
        <w:rPr>
          <w:rFonts w:cs="Arial"/>
          <w:b/>
          <w:bCs/>
          <w:iCs/>
          <w:noProof/>
          <w:szCs w:val="24"/>
        </w:rPr>
        <w:t>Treasury Management Strategy Statement  Report</w:t>
      </w:r>
      <w:r w:rsidR="00C65A06">
        <w:rPr>
          <w:rFonts w:cs="Arial"/>
          <w:iCs/>
          <w:noProof/>
          <w:szCs w:val="24"/>
        </w:rPr>
        <w:t xml:space="preserve"> – </w:t>
      </w:r>
      <w:r w:rsidRPr="00105BD0">
        <w:rPr>
          <w:rFonts w:cs="Arial"/>
          <w:iCs/>
          <w:noProof/>
          <w:szCs w:val="24"/>
        </w:rPr>
        <w:t>The first, and most important report is presented to the Council in February and covers:</w:t>
      </w:r>
    </w:p>
    <w:p w14:paraId="17D9F2E4" w14:textId="77777777" w:rsidR="0047091C" w:rsidRPr="00105BD0" w:rsidRDefault="0047091C" w:rsidP="00337D90">
      <w:pPr>
        <w:pStyle w:val="ListParagraph"/>
        <w:numPr>
          <w:ilvl w:val="0"/>
          <w:numId w:val="4"/>
        </w:numPr>
        <w:autoSpaceDE w:val="0"/>
        <w:autoSpaceDN w:val="0"/>
        <w:adjustRightInd w:val="0"/>
        <w:ind w:left="284" w:hanging="284"/>
        <w:jc w:val="both"/>
        <w:rPr>
          <w:rFonts w:cs="Arial"/>
          <w:szCs w:val="24"/>
          <w:lang w:eastAsia="en-GB"/>
        </w:rPr>
      </w:pPr>
      <w:r>
        <w:rPr>
          <w:rFonts w:cs="Arial"/>
          <w:szCs w:val="24"/>
          <w:lang w:eastAsia="en-GB"/>
        </w:rPr>
        <w:t>T</w:t>
      </w:r>
      <w:r w:rsidRPr="00105BD0">
        <w:rPr>
          <w:rFonts w:cs="Arial"/>
          <w:szCs w:val="24"/>
          <w:lang w:eastAsia="en-GB"/>
        </w:rPr>
        <w:t xml:space="preserve">he Treasury Management Strategy </w:t>
      </w:r>
      <w:r>
        <w:rPr>
          <w:rFonts w:cs="Arial"/>
          <w:szCs w:val="24"/>
          <w:lang w:eastAsia="en-GB"/>
        </w:rPr>
        <w:t xml:space="preserve">Statement (TMSS), which details </w:t>
      </w:r>
      <w:r w:rsidRPr="00105BD0">
        <w:rPr>
          <w:rFonts w:cs="Arial"/>
          <w:szCs w:val="24"/>
          <w:lang w:eastAsia="en-GB"/>
        </w:rPr>
        <w:t>how the investments and borrowings</w:t>
      </w:r>
      <w:r>
        <w:rPr>
          <w:rFonts w:cs="Arial"/>
          <w:szCs w:val="24"/>
          <w:lang w:eastAsia="en-GB"/>
        </w:rPr>
        <w:t xml:space="preserve"> for capital expenditure</w:t>
      </w:r>
      <w:r w:rsidRPr="00105BD0">
        <w:rPr>
          <w:rFonts w:cs="Arial"/>
          <w:szCs w:val="24"/>
          <w:lang w:eastAsia="en-GB"/>
        </w:rPr>
        <w:t xml:space="preserve"> are to be organised</w:t>
      </w:r>
      <w:r>
        <w:rPr>
          <w:rFonts w:cs="Arial"/>
          <w:szCs w:val="24"/>
          <w:lang w:eastAsia="en-GB"/>
        </w:rPr>
        <w:t>,</w:t>
      </w:r>
      <w:r w:rsidRPr="00105BD0">
        <w:rPr>
          <w:rFonts w:cs="Arial"/>
          <w:szCs w:val="24"/>
          <w:lang w:eastAsia="en-GB"/>
        </w:rPr>
        <w:t xml:space="preserve"> including </w:t>
      </w:r>
      <w:r>
        <w:rPr>
          <w:rFonts w:cs="Arial"/>
          <w:szCs w:val="24"/>
          <w:lang w:eastAsia="en-GB"/>
        </w:rPr>
        <w:t>T</w:t>
      </w:r>
      <w:r w:rsidRPr="00105BD0">
        <w:rPr>
          <w:rFonts w:cs="Arial"/>
          <w:szCs w:val="24"/>
          <w:lang w:eastAsia="en-GB"/>
        </w:rPr>
        <w:t xml:space="preserve">reasury </w:t>
      </w:r>
      <w:r>
        <w:rPr>
          <w:rFonts w:cs="Arial"/>
          <w:szCs w:val="24"/>
          <w:lang w:eastAsia="en-GB"/>
        </w:rPr>
        <w:t>Limits</w:t>
      </w:r>
      <w:r w:rsidRPr="00105BD0">
        <w:rPr>
          <w:rFonts w:cs="Arial"/>
          <w:szCs w:val="24"/>
          <w:lang w:eastAsia="en-GB"/>
        </w:rPr>
        <w:t xml:space="preserve"> and</w:t>
      </w:r>
      <w:r>
        <w:rPr>
          <w:rFonts w:cs="Arial"/>
          <w:szCs w:val="24"/>
          <w:lang w:eastAsia="en-GB"/>
        </w:rPr>
        <w:t xml:space="preserve"> Prudential Indicators.</w:t>
      </w:r>
    </w:p>
    <w:p w14:paraId="1F47C53C" w14:textId="77777777" w:rsidR="0047091C" w:rsidRDefault="0047091C" w:rsidP="00337D90">
      <w:pPr>
        <w:pStyle w:val="ListParagraph"/>
        <w:numPr>
          <w:ilvl w:val="0"/>
          <w:numId w:val="4"/>
        </w:numPr>
        <w:autoSpaceDE w:val="0"/>
        <w:autoSpaceDN w:val="0"/>
        <w:adjustRightInd w:val="0"/>
        <w:ind w:left="284" w:hanging="284"/>
        <w:jc w:val="both"/>
        <w:rPr>
          <w:rFonts w:cs="Arial"/>
          <w:szCs w:val="24"/>
          <w:lang w:eastAsia="en-GB"/>
        </w:rPr>
      </w:pPr>
      <w:r>
        <w:rPr>
          <w:rFonts w:cs="Arial"/>
          <w:szCs w:val="24"/>
          <w:lang w:eastAsia="en-GB"/>
        </w:rPr>
        <w:t>The Annual</w:t>
      </w:r>
      <w:r w:rsidRPr="00105BD0">
        <w:rPr>
          <w:rFonts w:cs="Arial"/>
          <w:szCs w:val="24"/>
          <w:lang w:eastAsia="en-GB"/>
        </w:rPr>
        <w:t xml:space="preserve"> Investment Strategy</w:t>
      </w:r>
      <w:r>
        <w:rPr>
          <w:rFonts w:cs="Arial"/>
          <w:szCs w:val="24"/>
          <w:lang w:eastAsia="en-GB"/>
        </w:rPr>
        <w:t xml:space="preserve"> which forms part of the TMSS, </w:t>
      </w:r>
      <w:r w:rsidRPr="00105BD0">
        <w:rPr>
          <w:rFonts w:cs="Arial"/>
          <w:szCs w:val="24"/>
          <w:lang w:eastAsia="en-GB"/>
        </w:rPr>
        <w:t>(the parameters on how investments are to be managed).</w:t>
      </w:r>
    </w:p>
    <w:p w14:paraId="1F664F50" w14:textId="61149625" w:rsidR="0047091C" w:rsidRDefault="0047091C" w:rsidP="00337D90">
      <w:pPr>
        <w:pStyle w:val="ListParagraph"/>
        <w:numPr>
          <w:ilvl w:val="0"/>
          <w:numId w:val="4"/>
        </w:numPr>
        <w:autoSpaceDE w:val="0"/>
        <w:autoSpaceDN w:val="0"/>
        <w:adjustRightInd w:val="0"/>
        <w:ind w:left="284" w:hanging="284"/>
        <w:jc w:val="both"/>
        <w:rPr>
          <w:rFonts w:cs="Arial"/>
          <w:szCs w:val="24"/>
          <w:lang w:eastAsia="en-GB"/>
        </w:rPr>
      </w:pPr>
      <w:r w:rsidRPr="007D40C1">
        <w:rPr>
          <w:rFonts w:cs="Arial"/>
          <w:szCs w:val="24"/>
          <w:lang w:eastAsia="en-GB"/>
        </w:rPr>
        <w:t>the MRP Policy (how capital expenditure is charged to revenue over time)</w:t>
      </w:r>
      <w:r>
        <w:rPr>
          <w:rFonts w:cs="Arial"/>
          <w:szCs w:val="24"/>
          <w:lang w:eastAsia="en-GB"/>
        </w:rPr>
        <w:t>.</w:t>
      </w:r>
    </w:p>
    <w:p w14:paraId="7DCD002C" w14:textId="09AE8DA5" w:rsidR="00CB19EE" w:rsidRDefault="00CB19EE" w:rsidP="00CB19EE">
      <w:pPr>
        <w:autoSpaceDE w:val="0"/>
        <w:autoSpaceDN w:val="0"/>
        <w:adjustRightInd w:val="0"/>
        <w:jc w:val="both"/>
        <w:rPr>
          <w:rFonts w:cs="Arial"/>
          <w:szCs w:val="24"/>
          <w:lang w:eastAsia="en-GB"/>
        </w:rPr>
      </w:pPr>
    </w:p>
    <w:p w14:paraId="33846BF7" w14:textId="70BC3F22" w:rsidR="00CB19EE" w:rsidRPr="008A1A78" w:rsidRDefault="00CB19EE" w:rsidP="00824C62">
      <w:pPr>
        <w:spacing w:before="45" w:after="45"/>
        <w:jc w:val="both"/>
        <w:rPr>
          <w:rFonts w:cs="Arial"/>
          <w:b/>
          <w:bCs/>
          <w:noProof/>
          <w:szCs w:val="24"/>
        </w:rPr>
      </w:pPr>
      <w:r w:rsidRPr="00CB19EE">
        <w:rPr>
          <w:rFonts w:cs="Arial"/>
          <w:b/>
          <w:bCs/>
          <w:noProof/>
          <w:szCs w:val="24"/>
        </w:rPr>
        <w:t>The 202</w:t>
      </w:r>
      <w:r>
        <w:rPr>
          <w:rFonts w:cs="Arial"/>
          <w:b/>
          <w:bCs/>
          <w:noProof/>
          <w:szCs w:val="24"/>
        </w:rPr>
        <w:t>1</w:t>
      </w:r>
      <w:r w:rsidRPr="00CB19EE">
        <w:rPr>
          <w:rFonts w:cs="Arial"/>
          <w:b/>
          <w:bCs/>
          <w:noProof/>
          <w:szCs w:val="24"/>
        </w:rPr>
        <w:t>/2</w:t>
      </w:r>
      <w:r>
        <w:rPr>
          <w:rFonts w:cs="Arial"/>
          <w:b/>
          <w:bCs/>
          <w:noProof/>
          <w:szCs w:val="24"/>
        </w:rPr>
        <w:t>2</w:t>
      </w:r>
      <w:r w:rsidRPr="00CB19EE">
        <w:rPr>
          <w:rFonts w:cs="Arial"/>
          <w:b/>
          <w:bCs/>
          <w:noProof/>
          <w:szCs w:val="24"/>
        </w:rPr>
        <w:t xml:space="preserve"> TMSS was presented to Council on </w:t>
      </w:r>
      <w:r w:rsidR="00C5012C" w:rsidRPr="00C5012C">
        <w:rPr>
          <w:rFonts w:cs="Arial"/>
          <w:b/>
          <w:bCs/>
          <w:noProof/>
          <w:szCs w:val="24"/>
        </w:rPr>
        <w:t>25</w:t>
      </w:r>
      <w:r w:rsidRPr="00C5012C">
        <w:rPr>
          <w:rFonts w:cs="Arial"/>
          <w:b/>
          <w:bCs/>
          <w:noProof/>
          <w:szCs w:val="24"/>
        </w:rPr>
        <w:t xml:space="preserve"> February 2021. </w:t>
      </w:r>
    </w:p>
    <w:p w14:paraId="32FD729A" w14:textId="77777777" w:rsidR="0047091C" w:rsidRPr="00105BD0" w:rsidRDefault="0047091C" w:rsidP="0047091C">
      <w:pPr>
        <w:ind w:left="709"/>
        <w:jc w:val="both"/>
        <w:rPr>
          <w:rFonts w:cs="Arial"/>
          <w:iCs/>
          <w:noProof/>
          <w:sz w:val="22"/>
          <w:szCs w:val="22"/>
        </w:rPr>
      </w:pPr>
    </w:p>
    <w:p w14:paraId="40223CCF" w14:textId="1FE989FE" w:rsidR="0047091C" w:rsidRPr="00C65A06" w:rsidRDefault="0047091C" w:rsidP="00337D90">
      <w:pPr>
        <w:pStyle w:val="ListParagraph"/>
        <w:numPr>
          <w:ilvl w:val="0"/>
          <w:numId w:val="21"/>
        </w:numPr>
        <w:ind w:left="0" w:hanging="567"/>
        <w:jc w:val="both"/>
        <w:rPr>
          <w:rFonts w:cs="Arial"/>
          <w:iCs/>
          <w:noProof/>
          <w:szCs w:val="24"/>
        </w:rPr>
      </w:pPr>
      <w:r w:rsidRPr="00C65A06">
        <w:rPr>
          <w:rFonts w:cs="Arial"/>
          <w:b/>
          <w:bCs/>
          <w:iCs/>
          <w:noProof/>
          <w:szCs w:val="24"/>
        </w:rPr>
        <w:t>Mid-Year Review Report</w:t>
      </w:r>
      <w:r w:rsidR="00C65A06" w:rsidRPr="00C65A06">
        <w:rPr>
          <w:rFonts w:cs="Arial"/>
          <w:b/>
          <w:bCs/>
          <w:iCs/>
          <w:noProof/>
          <w:szCs w:val="24"/>
        </w:rPr>
        <w:t xml:space="preserve"> </w:t>
      </w:r>
      <w:r w:rsidRPr="00C65A06">
        <w:rPr>
          <w:rFonts w:cs="Arial"/>
          <w:iCs/>
          <w:noProof/>
          <w:szCs w:val="24"/>
        </w:rPr>
        <w:t>– This is presented to Cabinet in December/January and updates Members on the progress of the Capital Programme, reporting on  Prudential Indicators to give assurance that the treasury management function is operating within the Treasury Limits and Prudential Indicators set out in the TMSS.</w:t>
      </w:r>
    </w:p>
    <w:p w14:paraId="44D5F804" w14:textId="5F989AE0" w:rsidR="00CB19EE" w:rsidRDefault="00CB19EE" w:rsidP="0047091C">
      <w:pPr>
        <w:jc w:val="both"/>
        <w:rPr>
          <w:rFonts w:cs="Arial"/>
          <w:iCs/>
          <w:noProof/>
          <w:szCs w:val="24"/>
        </w:rPr>
      </w:pPr>
    </w:p>
    <w:p w14:paraId="009B5306" w14:textId="01BE2D0B" w:rsidR="00CB19EE" w:rsidRPr="00CB19EE" w:rsidRDefault="00CB19EE" w:rsidP="00824C62">
      <w:pPr>
        <w:jc w:val="both"/>
        <w:rPr>
          <w:rFonts w:cs="Arial"/>
          <w:b/>
          <w:bCs/>
          <w:iCs/>
          <w:noProof/>
          <w:szCs w:val="24"/>
        </w:rPr>
      </w:pPr>
      <w:r w:rsidRPr="00CB19EE">
        <w:rPr>
          <w:rFonts w:cs="Arial"/>
          <w:b/>
          <w:bCs/>
          <w:iCs/>
          <w:noProof/>
          <w:szCs w:val="24"/>
        </w:rPr>
        <w:t>This report fulfills the requirements of the the Mid-Year Review for 2021/22.</w:t>
      </w:r>
    </w:p>
    <w:p w14:paraId="7C83BA3F" w14:textId="77777777" w:rsidR="0047091C" w:rsidRPr="00105BD0" w:rsidRDefault="0047091C" w:rsidP="0047091C">
      <w:pPr>
        <w:ind w:left="709"/>
        <w:jc w:val="both"/>
        <w:rPr>
          <w:rFonts w:cs="Arial"/>
          <w:iCs/>
          <w:noProof/>
          <w:szCs w:val="24"/>
        </w:rPr>
      </w:pPr>
      <w:r>
        <w:rPr>
          <w:rFonts w:cs="Arial"/>
          <w:iCs/>
          <w:noProof/>
          <w:szCs w:val="24"/>
        </w:rPr>
        <w:t xml:space="preserve"> </w:t>
      </w:r>
    </w:p>
    <w:p w14:paraId="648CF60D" w14:textId="6EFADF05" w:rsidR="0047091C" w:rsidRPr="00C65A06" w:rsidRDefault="0047091C" w:rsidP="00337D90">
      <w:pPr>
        <w:pStyle w:val="ListParagraph"/>
        <w:numPr>
          <w:ilvl w:val="0"/>
          <w:numId w:val="21"/>
        </w:numPr>
        <w:ind w:left="0" w:hanging="567"/>
        <w:jc w:val="both"/>
        <w:rPr>
          <w:rFonts w:cs="Arial"/>
          <w:iCs/>
          <w:noProof/>
          <w:szCs w:val="24"/>
        </w:rPr>
      </w:pPr>
      <w:r w:rsidRPr="00C65A06">
        <w:rPr>
          <w:rFonts w:cs="Arial"/>
          <w:b/>
          <w:bCs/>
          <w:iCs/>
          <w:noProof/>
          <w:szCs w:val="24"/>
        </w:rPr>
        <w:t>Treasury Management Outturn Report</w:t>
      </w:r>
      <w:r w:rsidRPr="00C65A06">
        <w:rPr>
          <w:rFonts w:cs="Arial"/>
          <w:iCs/>
          <w:noProof/>
          <w:szCs w:val="24"/>
        </w:rPr>
        <w:t xml:space="preserve"> – This is typically presented to Cabinet in June</w:t>
      </w:r>
      <w:r w:rsidR="00CB19EE" w:rsidRPr="00C65A06">
        <w:rPr>
          <w:rFonts w:cs="Arial"/>
          <w:iCs/>
          <w:noProof/>
          <w:szCs w:val="24"/>
        </w:rPr>
        <w:t>/July</w:t>
      </w:r>
      <w:r w:rsidRPr="00C65A06">
        <w:rPr>
          <w:rFonts w:cs="Arial"/>
          <w:iCs/>
          <w:noProof/>
          <w:szCs w:val="24"/>
        </w:rPr>
        <w:t xml:space="preserve"> and provides details of a selection of actual prudential and treasury indicators and actual treasury operations compared to the estimates within the TMSS</w:t>
      </w:r>
      <w:r w:rsidR="00CB19EE" w:rsidRPr="00C65A06">
        <w:rPr>
          <w:rFonts w:cs="Arial"/>
          <w:iCs/>
          <w:noProof/>
          <w:szCs w:val="24"/>
        </w:rPr>
        <w:t xml:space="preserve"> and Mid-Year Reports</w:t>
      </w:r>
      <w:r w:rsidRPr="00C65A06">
        <w:rPr>
          <w:rFonts w:cs="Arial"/>
          <w:iCs/>
          <w:noProof/>
          <w:szCs w:val="24"/>
        </w:rPr>
        <w:t>.</w:t>
      </w:r>
    </w:p>
    <w:p w14:paraId="47B529A9" w14:textId="77777777" w:rsidR="0047091C" w:rsidRPr="00105BD0" w:rsidRDefault="0047091C" w:rsidP="0047091C">
      <w:pPr>
        <w:ind w:left="709"/>
        <w:jc w:val="both"/>
        <w:rPr>
          <w:rFonts w:cs="Arial"/>
          <w:iCs/>
          <w:noProof/>
          <w:sz w:val="22"/>
          <w:szCs w:val="22"/>
        </w:rPr>
      </w:pPr>
    </w:p>
    <w:p w14:paraId="0C0C037A" w14:textId="0D9C650F" w:rsidR="0047091C" w:rsidRPr="00C65A06" w:rsidRDefault="0047091C" w:rsidP="00337D90">
      <w:pPr>
        <w:pStyle w:val="ListParagraph"/>
        <w:numPr>
          <w:ilvl w:val="0"/>
          <w:numId w:val="21"/>
        </w:numPr>
        <w:ind w:left="0" w:hanging="567"/>
        <w:jc w:val="both"/>
        <w:rPr>
          <w:rFonts w:cs="Arial"/>
          <w:iCs/>
          <w:noProof/>
          <w:szCs w:val="24"/>
        </w:rPr>
      </w:pPr>
      <w:r w:rsidRPr="00C65A06">
        <w:rPr>
          <w:rFonts w:cs="Arial"/>
          <w:b/>
          <w:bCs/>
          <w:iCs/>
          <w:noProof/>
          <w:szCs w:val="24"/>
        </w:rPr>
        <w:t>Scrutiny</w:t>
      </w:r>
      <w:r w:rsidR="00C65A06">
        <w:rPr>
          <w:rFonts w:cs="Arial"/>
          <w:iCs/>
          <w:noProof/>
          <w:szCs w:val="24"/>
        </w:rPr>
        <w:t xml:space="preserve"> – </w:t>
      </w:r>
      <w:r w:rsidRPr="00C65A06">
        <w:rPr>
          <w:rFonts w:cs="Arial"/>
          <w:iCs/>
          <w:noProof/>
          <w:szCs w:val="24"/>
        </w:rPr>
        <w:t xml:space="preserve">The above reports are required to be adequately scrutinised, normally before being recommended to Cabinet/Council, with the role being undertaken by the Governance, Audit, Risk Management and Standards Committee (GARMS).  The Council has complied with the CIPFA Treasury </w:t>
      </w:r>
      <w:r w:rsidRPr="00C65A06">
        <w:rPr>
          <w:rFonts w:cs="Arial"/>
          <w:iCs/>
          <w:noProof/>
          <w:szCs w:val="24"/>
        </w:rPr>
        <w:lastRenderedPageBreak/>
        <w:t xml:space="preserve">Management Code of Practice to the extent that all Treasury Management reports have been scrutinised though the efficient conduct of the Council’s business may require consideration by GARMS subsequent to consideration by Cabinet/Council. </w:t>
      </w:r>
    </w:p>
    <w:p w14:paraId="76300227" w14:textId="2ACF9119" w:rsidR="0047091C" w:rsidRDefault="0047091C" w:rsidP="0047091C">
      <w:pPr>
        <w:jc w:val="both"/>
        <w:rPr>
          <w:rFonts w:cs="Arial"/>
          <w:iCs/>
          <w:noProof/>
          <w:szCs w:val="24"/>
        </w:rPr>
      </w:pPr>
    </w:p>
    <w:p w14:paraId="624D582A" w14:textId="0796A336" w:rsidR="0047091C" w:rsidRPr="00C65A06" w:rsidRDefault="0047091C" w:rsidP="00337D90">
      <w:pPr>
        <w:pStyle w:val="ListParagraph"/>
        <w:numPr>
          <w:ilvl w:val="0"/>
          <w:numId w:val="21"/>
        </w:numPr>
        <w:ind w:left="0" w:hanging="567"/>
        <w:jc w:val="both"/>
        <w:rPr>
          <w:rFonts w:cs="Arial"/>
          <w:iCs/>
          <w:noProof/>
          <w:szCs w:val="24"/>
        </w:rPr>
      </w:pPr>
      <w:r w:rsidRPr="00C65A06">
        <w:rPr>
          <w:rFonts w:cs="Arial"/>
          <w:iCs/>
          <w:noProof/>
          <w:szCs w:val="24"/>
        </w:rPr>
        <w:t>The Council has delegated responsibility for the implementation and regular monitoring of its treasury management policies and practices to the Section 151 Officer. The Section 151 Officer chairs the Treasury Management Group (TMG), which monitors the treasury management activity and market conditions monthly.</w:t>
      </w:r>
    </w:p>
    <w:p w14:paraId="4AAB7DF5" w14:textId="77777777" w:rsidR="00610C63" w:rsidRDefault="00610C63" w:rsidP="00337D90">
      <w:pPr>
        <w:pStyle w:val="Heading3"/>
        <w:numPr>
          <w:ilvl w:val="0"/>
          <w:numId w:val="22"/>
        </w:numPr>
        <w:spacing w:before="240"/>
        <w:ind w:left="0" w:hanging="567"/>
        <w:jc w:val="left"/>
      </w:pPr>
      <w:r>
        <w:t xml:space="preserve">Options considered  </w:t>
      </w:r>
    </w:p>
    <w:p w14:paraId="300C0588" w14:textId="77777777" w:rsidR="00610C63" w:rsidRDefault="00610C63" w:rsidP="00610C63">
      <w:pPr>
        <w:tabs>
          <w:tab w:val="left" w:pos="567"/>
        </w:tabs>
        <w:jc w:val="both"/>
        <w:rPr>
          <w:rFonts w:cs="Arial"/>
          <w:szCs w:val="24"/>
        </w:rPr>
      </w:pPr>
    </w:p>
    <w:p w14:paraId="583D10F7" w14:textId="2F59888D" w:rsidR="00610C63" w:rsidRPr="007F0E2E" w:rsidRDefault="00610C63" w:rsidP="00337D90">
      <w:pPr>
        <w:pStyle w:val="ListParagraph"/>
        <w:numPr>
          <w:ilvl w:val="0"/>
          <w:numId w:val="22"/>
        </w:numPr>
        <w:tabs>
          <w:tab w:val="left" w:pos="0"/>
        </w:tabs>
        <w:ind w:left="0" w:hanging="567"/>
        <w:jc w:val="both"/>
      </w:pPr>
      <w:r w:rsidRPr="00C65A06">
        <w:rPr>
          <w:rFonts w:cs="Arial"/>
          <w:szCs w:val="24"/>
        </w:rPr>
        <w:t>The report is in accordance with the reporting requirements of the CIPFA Treasury Management Code of Practice.</w:t>
      </w:r>
    </w:p>
    <w:p w14:paraId="3E29C7D5" w14:textId="77777777" w:rsidR="007F0E2E" w:rsidRDefault="007F0E2E" w:rsidP="007F0E2E">
      <w:pPr>
        <w:pStyle w:val="ListParagraph"/>
      </w:pPr>
    </w:p>
    <w:p w14:paraId="555D1469" w14:textId="3BCA8842" w:rsidR="00333FAA" w:rsidRDefault="008F2670" w:rsidP="00337D90">
      <w:pPr>
        <w:pStyle w:val="Heading2"/>
        <w:numPr>
          <w:ilvl w:val="0"/>
          <w:numId w:val="23"/>
        </w:numPr>
        <w:ind w:left="0" w:hanging="567"/>
        <w:rPr>
          <w:rFonts w:ascii="Arial" w:hAnsi="Arial"/>
          <w:color w:val="0000FF"/>
          <w:sz w:val="28"/>
          <w:szCs w:val="28"/>
        </w:rPr>
      </w:pPr>
      <w:r>
        <w:rPr>
          <w:rFonts w:ascii="Arial" w:hAnsi="Arial"/>
          <w:color w:val="0000FF"/>
          <w:sz w:val="28"/>
          <w:szCs w:val="28"/>
        </w:rPr>
        <w:t>Treasury Management Strategy Statement and Annual Investment Strategy Update</w:t>
      </w:r>
    </w:p>
    <w:p w14:paraId="37084BF4" w14:textId="54568FB4" w:rsidR="0047091C" w:rsidRPr="008F2670" w:rsidRDefault="0047091C" w:rsidP="0047091C">
      <w:pPr>
        <w:rPr>
          <w:lang w:val="en-AU"/>
        </w:rPr>
      </w:pPr>
    </w:p>
    <w:p w14:paraId="430C78FB" w14:textId="77E0C318" w:rsidR="008F2670" w:rsidRPr="00C65A06" w:rsidRDefault="008F2670" w:rsidP="00337D90">
      <w:pPr>
        <w:pStyle w:val="ListParagraph"/>
        <w:numPr>
          <w:ilvl w:val="0"/>
          <w:numId w:val="24"/>
        </w:numPr>
        <w:tabs>
          <w:tab w:val="left" w:pos="0"/>
        </w:tabs>
        <w:ind w:left="0" w:hanging="567"/>
        <w:jc w:val="both"/>
        <w:rPr>
          <w:rFonts w:cs="Arial"/>
          <w:szCs w:val="24"/>
        </w:rPr>
      </w:pPr>
      <w:r w:rsidRPr="00C65A06">
        <w:rPr>
          <w:rFonts w:cs="Arial"/>
          <w:szCs w:val="24"/>
        </w:rPr>
        <w:t xml:space="preserve">The Treasury Management Strategy Statement, (TMSS), for 2021/22 was approved by Council on </w:t>
      </w:r>
      <w:r w:rsidR="00C5012C" w:rsidRPr="00C5012C">
        <w:rPr>
          <w:rFonts w:cs="Arial"/>
          <w:szCs w:val="24"/>
        </w:rPr>
        <w:t>25</w:t>
      </w:r>
      <w:r w:rsidRPr="00C5012C">
        <w:rPr>
          <w:rFonts w:cs="Arial"/>
          <w:szCs w:val="24"/>
        </w:rPr>
        <w:t xml:space="preserve"> February 202</w:t>
      </w:r>
      <w:r w:rsidR="00C65A06" w:rsidRPr="00C5012C">
        <w:rPr>
          <w:rFonts w:cs="Arial"/>
          <w:szCs w:val="24"/>
        </w:rPr>
        <w:t>1</w:t>
      </w:r>
      <w:r w:rsidRPr="00C5012C">
        <w:rPr>
          <w:rFonts w:cs="Arial"/>
          <w:szCs w:val="24"/>
        </w:rPr>
        <w:t>.</w:t>
      </w:r>
      <w:r w:rsidRPr="00C65A06">
        <w:rPr>
          <w:rFonts w:cs="Arial"/>
          <w:szCs w:val="24"/>
        </w:rPr>
        <w:t xml:space="preserve"> </w:t>
      </w:r>
    </w:p>
    <w:p w14:paraId="1BE4C887" w14:textId="32ED9C97" w:rsidR="008F2670" w:rsidRDefault="008F2670" w:rsidP="008F2670">
      <w:pPr>
        <w:rPr>
          <w:rFonts w:cs="Arial"/>
          <w:bCs/>
          <w:szCs w:val="24"/>
          <w:lang w:eastAsia="en-GB"/>
        </w:rPr>
      </w:pPr>
    </w:p>
    <w:p w14:paraId="5B32CD91" w14:textId="4BC12847" w:rsidR="008F2670" w:rsidRPr="00C5012C" w:rsidRDefault="008F2670" w:rsidP="00647D4B">
      <w:pPr>
        <w:pStyle w:val="ListParagraph"/>
        <w:numPr>
          <w:ilvl w:val="0"/>
          <w:numId w:val="24"/>
        </w:numPr>
        <w:tabs>
          <w:tab w:val="left" w:pos="0"/>
        </w:tabs>
        <w:ind w:left="0" w:hanging="567"/>
        <w:jc w:val="both"/>
        <w:rPr>
          <w:rFonts w:cs="Arial"/>
          <w:bCs/>
          <w:szCs w:val="24"/>
          <w:lang w:eastAsia="en-GB"/>
        </w:rPr>
      </w:pPr>
      <w:r w:rsidRPr="00C5012C">
        <w:rPr>
          <w:rFonts w:cs="Arial"/>
          <w:szCs w:val="24"/>
        </w:rPr>
        <w:t>There are no policy changes</w:t>
      </w:r>
      <w:r w:rsidR="00C5012C" w:rsidRPr="00C5012C">
        <w:rPr>
          <w:rFonts w:cs="Arial"/>
          <w:szCs w:val="24"/>
        </w:rPr>
        <w:t xml:space="preserve"> proposed</w:t>
      </w:r>
      <w:r w:rsidRPr="00C5012C">
        <w:rPr>
          <w:rFonts w:cs="Arial"/>
          <w:szCs w:val="24"/>
        </w:rPr>
        <w:t xml:space="preserve"> to the TMSS</w:t>
      </w:r>
      <w:r w:rsidR="002350C2" w:rsidRPr="00C5012C">
        <w:rPr>
          <w:rFonts w:cs="Arial"/>
          <w:szCs w:val="24"/>
        </w:rPr>
        <w:t xml:space="preserve"> </w:t>
      </w:r>
      <w:r w:rsidR="007F0E2E" w:rsidRPr="00C5012C">
        <w:rPr>
          <w:rFonts w:cs="Arial"/>
          <w:szCs w:val="24"/>
        </w:rPr>
        <w:t>approved</w:t>
      </w:r>
      <w:r w:rsidR="002350C2" w:rsidRPr="00C5012C">
        <w:rPr>
          <w:rFonts w:cs="Arial"/>
          <w:szCs w:val="24"/>
        </w:rPr>
        <w:t xml:space="preserve"> for 2021/22</w:t>
      </w:r>
      <w:r w:rsidRPr="00C5012C">
        <w:rPr>
          <w:rFonts w:cs="Arial"/>
          <w:szCs w:val="24"/>
        </w:rPr>
        <w:t xml:space="preserve">; the details in this report update the position in the light of the updated economic </w:t>
      </w:r>
      <w:r w:rsidR="00C5012C" w:rsidRPr="00C5012C">
        <w:rPr>
          <w:rFonts w:cs="Arial"/>
          <w:szCs w:val="24"/>
        </w:rPr>
        <w:t>environment</w:t>
      </w:r>
      <w:r w:rsidRPr="00C5012C">
        <w:rPr>
          <w:rFonts w:cs="Arial"/>
          <w:szCs w:val="24"/>
        </w:rPr>
        <w:t xml:space="preserve">, budgetary changes and revised capital programme </w:t>
      </w:r>
      <w:r w:rsidR="00442BD9" w:rsidRPr="00896497">
        <w:rPr>
          <w:rFonts w:cs="Arial"/>
          <w:szCs w:val="24"/>
        </w:rPr>
        <w:t>outturn forecast</w:t>
      </w:r>
      <w:r w:rsidRPr="00896497">
        <w:rPr>
          <w:rFonts w:cs="Arial"/>
          <w:szCs w:val="24"/>
        </w:rPr>
        <w:t xml:space="preserve"> contained in the</w:t>
      </w:r>
      <w:r w:rsidR="00751DD2" w:rsidRPr="00896497">
        <w:rPr>
          <w:rFonts w:cs="Arial"/>
          <w:szCs w:val="24"/>
        </w:rPr>
        <w:t xml:space="preserve"> 2021/22 Q2 Capital </w:t>
      </w:r>
      <w:r w:rsidR="00C5012C" w:rsidRPr="00896497">
        <w:t>Budget Monitoring Report also presented at this meeting</w:t>
      </w:r>
      <w:r w:rsidR="003B45AC">
        <w:t>.</w:t>
      </w:r>
    </w:p>
    <w:p w14:paraId="4BEA5682" w14:textId="77777777" w:rsidR="00C5012C" w:rsidRPr="00C5012C" w:rsidRDefault="00C5012C" w:rsidP="00C5012C">
      <w:pPr>
        <w:pStyle w:val="ListParagraph"/>
        <w:tabs>
          <w:tab w:val="left" w:pos="0"/>
        </w:tabs>
        <w:ind w:left="0"/>
        <w:jc w:val="both"/>
        <w:rPr>
          <w:rFonts w:cs="Arial"/>
          <w:bCs/>
          <w:szCs w:val="24"/>
          <w:lang w:eastAsia="en-GB"/>
        </w:rPr>
      </w:pPr>
    </w:p>
    <w:p w14:paraId="1FD903B1" w14:textId="7FFE95F5" w:rsidR="001A34F8" w:rsidRDefault="001A34F8" w:rsidP="00337D90">
      <w:pPr>
        <w:pStyle w:val="Heading2"/>
        <w:numPr>
          <w:ilvl w:val="0"/>
          <w:numId w:val="25"/>
        </w:numPr>
        <w:ind w:left="0" w:hanging="567"/>
        <w:rPr>
          <w:rFonts w:ascii="Arial" w:hAnsi="Arial"/>
          <w:color w:val="0000FF"/>
          <w:sz w:val="28"/>
          <w:szCs w:val="28"/>
        </w:rPr>
      </w:pPr>
      <w:r>
        <w:rPr>
          <w:rFonts w:ascii="Arial" w:hAnsi="Arial"/>
          <w:color w:val="0000FF"/>
          <w:sz w:val="28"/>
          <w:szCs w:val="28"/>
        </w:rPr>
        <w:t>GLA Group Investment Syndicate</w:t>
      </w:r>
    </w:p>
    <w:p w14:paraId="0C687EE6" w14:textId="77777777" w:rsidR="001A34F8" w:rsidRDefault="001A34F8" w:rsidP="008F2670">
      <w:pPr>
        <w:jc w:val="both"/>
        <w:rPr>
          <w:rFonts w:cs="Arial"/>
          <w:bCs/>
          <w:szCs w:val="24"/>
          <w:highlight w:val="yellow"/>
        </w:rPr>
      </w:pPr>
    </w:p>
    <w:p w14:paraId="20DB1540" w14:textId="4E837188" w:rsidR="008F2670" w:rsidRPr="00D45C63" w:rsidRDefault="008F2670" w:rsidP="00337D90">
      <w:pPr>
        <w:pStyle w:val="ListParagraph"/>
        <w:numPr>
          <w:ilvl w:val="0"/>
          <w:numId w:val="25"/>
        </w:numPr>
        <w:tabs>
          <w:tab w:val="left" w:pos="0"/>
        </w:tabs>
        <w:ind w:left="0" w:hanging="567"/>
        <w:jc w:val="both"/>
        <w:rPr>
          <w:rFonts w:cs="Arial"/>
          <w:szCs w:val="24"/>
        </w:rPr>
      </w:pPr>
      <w:r w:rsidRPr="00D45C63">
        <w:rPr>
          <w:rFonts w:cs="Arial"/>
          <w:szCs w:val="24"/>
        </w:rPr>
        <w:t xml:space="preserve">The Cabinet report dated 15th July 2021, set out a recommendation that the Council becomes a participant in the shared service arrangement operated by the Greater London Authority (GLA) for the provision of treasury management services.  This will include the Council transferring its investment balances into the GLA Group Investment Syndicate (GIS). </w:t>
      </w:r>
    </w:p>
    <w:p w14:paraId="0FCB0940" w14:textId="77777777" w:rsidR="008F2670" w:rsidRPr="001A34F8" w:rsidRDefault="008F2670" w:rsidP="008F2670">
      <w:pPr>
        <w:jc w:val="both"/>
        <w:rPr>
          <w:rFonts w:cs="Arial"/>
          <w:bCs/>
          <w:szCs w:val="24"/>
        </w:rPr>
      </w:pPr>
    </w:p>
    <w:p w14:paraId="7B2E9D49" w14:textId="012BF137" w:rsidR="008F2670" w:rsidRPr="00D45C63" w:rsidRDefault="008F2670" w:rsidP="00337D90">
      <w:pPr>
        <w:pStyle w:val="ListParagraph"/>
        <w:numPr>
          <w:ilvl w:val="0"/>
          <w:numId w:val="25"/>
        </w:numPr>
        <w:tabs>
          <w:tab w:val="left" w:pos="0"/>
        </w:tabs>
        <w:ind w:left="0" w:hanging="567"/>
        <w:jc w:val="both"/>
        <w:rPr>
          <w:rFonts w:cs="Arial"/>
          <w:szCs w:val="24"/>
        </w:rPr>
      </w:pPr>
      <w:r w:rsidRPr="00D45C63">
        <w:rPr>
          <w:rFonts w:cs="Arial"/>
          <w:szCs w:val="24"/>
        </w:rPr>
        <w:t>Work remains ongoing in respect of finalising the associated legal agreement to conclude negotiations to the satisfaction of the Director of Finance and Assurance in consultation with the Portfolio Holder for Finance and Resources together with the Director of Legal and Governance.</w:t>
      </w:r>
    </w:p>
    <w:p w14:paraId="0DD173D2" w14:textId="3754F28B" w:rsidR="008F2670" w:rsidRPr="001A34F8" w:rsidRDefault="008F2670" w:rsidP="008F2670">
      <w:pPr>
        <w:jc w:val="both"/>
        <w:rPr>
          <w:rFonts w:cs="Arial"/>
          <w:bCs/>
          <w:szCs w:val="24"/>
        </w:rPr>
      </w:pPr>
    </w:p>
    <w:p w14:paraId="50E986C4" w14:textId="1B6873EA" w:rsidR="008F2670" w:rsidRPr="00120571" w:rsidRDefault="008F2670" w:rsidP="00337D90">
      <w:pPr>
        <w:pStyle w:val="ListParagraph"/>
        <w:numPr>
          <w:ilvl w:val="0"/>
          <w:numId w:val="25"/>
        </w:numPr>
        <w:tabs>
          <w:tab w:val="left" w:pos="0"/>
        </w:tabs>
        <w:ind w:left="0" w:hanging="567"/>
        <w:jc w:val="both"/>
        <w:rPr>
          <w:rFonts w:cs="Arial"/>
          <w:szCs w:val="24"/>
        </w:rPr>
      </w:pPr>
      <w:r w:rsidRPr="00120571">
        <w:rPr>
          <w:rFonts w:cs="Arial"/>
          <w:szCs w:val="24"/>
        </w:rPr>
        <w:t xml:space="preserve">It is anticipated that this agreement may be in place for </w:t>
      </w:r>
      <w:r w:rsidR="002350C2" w:rsidRPr="00120571">
        <w:rPr>
          <w:rFonts w:cs="Arial"/>
          <w:szCs w:val="24"/>
        </w:rPr>
        <w:t>2022/23.</w:t>
      </w:r>
      <w:r w:rsidR="001A34F8" w:rsidRPr="00120571">
        <w:rPr>
          <w:rFonts w:cs="Arial"/>
          <w:szCs w:val="24"/>
        </w:rPr>
        <w:t xml:space="preserve"> </w:t>
      </w:r>
    </w:p>
    <w:p w14:paraId="40072142" w14:textId="6C93C7A0" w:rsidR="00E8216C" w:rsidRDefault="00E8216C" w:rsidP="008F2670">
      <w:pPr>
        <w:jc w:val="both"/>
        <w:rPr>
          <w:rFonts w:cs="Arial"/>
          <w:bCs/>
          <w:szCs w:val="24"/>
          <w:highlight w:val="yellow"/>
        </w:rPr>
      </w:pPr>
    </w:p>
    <w:p w14:paraId="5512133E" w14:textId="77777777" w:rsidR="001A34F8" w:rsidRDefault="001A34F8" w:rsidP="00337D90">
      <w:pPr>
        <w:pStyle w:val="Heading2"/>
        <w:numPr>
          <w:ilvl w:val="0"/>
          <w:numId w:val="26"/>
        </w:numPr>
        <w:ind w:left="0" w:hanging="567"/>
        <w:rPr>
          <w:rFonts w:ascii="Arial" w:hAnsi="Arial"/>
          <w:color w:val="0000FF"/>
          <w:sz w:val="28"/>
          <w:szCs w:val="28"/>
        </w:rPr>
      </w:pPr>
      <w:r>
        <w:rPr>
          <w:rFonts w:ascii="Arial" w:hAnsi="Arial"/>
          <w:color w:val="0000FF"/>
          <w:sz w:val="28"/>
          <w:szCs w:val="28"/>
        </w:rPr>
        <w:t>CIPFA Treasury Management Code of Practice and Prudential Code consultations</w:t>
      </w:r>
    </w:p>
    <w:p w14:paraId="31790A77" w14:textId="77777777" w:rsidR="001A34F8" w:rsidRDefault="001A34F8" w:rsidP="001A34F8"/>
    <w:p w14:paraId="0B934203" w14:textId="2F6EF529" w:rsidR="001A34F8" w:rsidRPr="00A74536" w:rsidRDefault="001A34F8" w:rsidP="00337D90">
      <w:pPr>
        <w:pStyle w:val="ListParagraph"/>
        <w:numPr>
          <w:ilvl w:val="0"/>
          <w:numId w:val="26"/>
        </w:numPr>
        <w:ind w:left="0" w:hanging="567"/>
      </w:pPr>
      <w:r>
        <w:t>CIPFA are currently consulting on revisions to the Treasury Management Code of Practice and Prudential Code.  The second stage of the consultation process closed on the 16 November 2021 and we are awaiting the</w:t>
      </w:r>
      <w:r w:rsidR="00C95416">
        <w:t xml:space="preserve"> outcome of the</w:t>
      </w:r>
      <w:r>
        <w:t xml:space="preserve"> consultation.  CIPFA have indicated that due to the timing of the </w:t>
      </w:r>
      <w:r>
        <w:lastRenderedPageBreak/>
        <w:t xml:space="preserve">consultations the introduction of changes </w:t>
      </w:r>
      <w:r w:rsidR="00C95416">
        <w:t>from</w:t>
      </w:r>
      <w:r>
        <w:t xml:space="preserve"> the revised Codes will be in the form of a soft launch with full implementation expected from 2023/24.</w:t>
      </w:r>
    </w:p>
    <w:p w14:paraId="5CBD65A3" w14:textId="78384D5F" w:rsidR="002350C2" w:rsidRDefault="002350C2" w:rsidP="008F2670">
      <w:pPr>
        <w:jc w:val="both"/>
        <w:rPr>
          <w:rFonts w:cs="Arial"/>
          <w:bCs/>
          <w:szCs w:val="24"/>
          <w:highlight w:val="yellow"/>
        </w:rPr>
      </w:pPr>
    </w:p>
    <w:p w14:paraId="6658FDDC" w14:textId="19435056" w:rsidR="002350C2" w:rsidRDefault="00AA6F2D" w:rsidP="00337D90">
      <w:pPr>
        <w:pStyle w:val="Heading2"/>
        <w:numPr>
          <w:ilvl w:val="0"/>
          <w:numId w:val="27"/>
        </w:numPr>
        <w:ind w:left="0" w:hanging="567"/>
        <w:rPr>
          <w:rFonts w:ascii="Arial" w:hAnsi="Arial"/>
          <w:color w:val="0000FF"/>
          <w:sz w:val="28"/>
          <w:szCs w:val="28"/>
        </w:rPr>
      </w:pPr>
      <w:r>
        <w:rPr>
          <w:rFonts w:ascii="Arial" w:hAnsi="Arial"/>
          <w:color w:val="0000FF"/>
          <w:sz w:val="28"/>
          <w:szCs w:val="28"/>
        </w:rPr>
        <w:t>Compliance with Prudential Indicators</w:t>
      </w:r>
    </w:p>
    <w:p w14:paraId="22FD314C" w14:textId="48B0D6DD" w:rsidR="002350C2" w:rsidRPr="00A402D8" w:rsidRDefault="002350C2" w:rsidP="008F2670">
      <w:pPr>
        <w:jc w:val="both"/>
        <w:rPr>
          <w:rFonts w:cs="Arial"/>
          <w:bCs/>
          <w:szCs w:val="24"/>
        </w:rPr>
      </w:pPr>
    </w:p>
    <w:p w14:paraId="1C8C7616" w14:textId="46334564" w:rsidR="00AA6F2D" w:rsidRPr="00A402D8" w:rsidRDefault="00AA6F2D" w:rsidP="00337D90">
      <w:pPr>
        <w:pStyle w:val="ListParagraph"/>
        <w:numPr>
          <w:ilvl w:val="0"/>
          <w:numId w:val="27"/>
        </w:numPr>
        <w:ind w:left="0" w:hanging="567"/>
        <w:jc w:val="both"/>
        <w:rPr>
          <w:color w:val="0D0D0D" w:themeColor="text1" w:themeTint="F2"/>
        </w:rPr>
      </w:pPr>
      <w:r w:rsidRPr="00A402D8">
        <w:rPr>
          <w:color w:val="0D0D0D" w:themeColor="text1" w:themeTint="F2"/>
        </w:rPr>
        <w:t xml:space="preserve">It is a statutory duty for the Council to determine and keep under review </w:t>
      </w:r>
      <w:r w:rsidR="001A34F8" w:rsidRPr="00A402D8">
        <w:rPr>
          <w:color w:val="0D0D0D" w:themeColor="text1" w:themeTint="F2"/>
        </w:rPr>
        <w:t>its</w:t>
      </w:r>
      <w:r w:rsidRPr="00A402D8">
        <w:rPr>
          <w:color w:val="0D0D0D" w:themeColor="text1" w:themeTint="F2"/>
        </w:rPr>
        <w:t xml:space="preserve"> affordable borrowing limits.  The Council has operated within the Treasury and Prudential Indicators set out in the Council’s Treasury Management Strategy Statement for 2021/22 during the half year ended 30</w:t>
      </w:r>
      <w:r w:rsidRPr="00A402D8">
        <w:rPr>
          <w:color w:val="0D0D0D" w:themeColor="text1" w:themeTint="F2"/>
          <w:vertAlign w:val="superscript"/>
        </w:rPr>
        <w:t xml:space="preserve"> </w:t>
      </w:r>
      <w:r w:rsidRPr="00A402D8">
        <w:rPr>
          <w:color w:val="0D0D0D" w:themeColor="text1" w:themeTint="F2"/>
        </w:rPr>
        <w:t>September 2020 (and up to 29 November 2021 at the point this report was despatched)</w:t>
      </w:r>
      <w:r w:rsidR="003B45AC">
        <w:rPr>
          <w:color w:val="0D0D0D" w:themeColor="text1" w:themeTint="F2"/>
        </w:rPr>
        <w:t>.</w:t>
      </w:r>
    </w:p>
    <w:p w14:paraId="539AD91F" w14:textId="77777777" w:rsidR="00AA6F2D" w:rsidRDefault="00AA6F2D" w:rsidP="00AA6F2D">
      <w:pPr>
        <w:jc w:val="both"/>
        <w:rPr>
          <w:color w:val="0D0D0D" w:themeColor="text1" w:themeTint="F2"/>
        </w:rPr>
      </w:pPr>
    </w:p>
    <w:p w14:paraId="5FD72342" w14:textId="77777777" w:rsidR="00AA6F2D" w:rsidRPr="00120571" w:rsidRDefault="00AA6F2D" w:rsidP="00337D90">
      <w:pPr>
        <w:pStyle w:val="ListParagraph"/>
        <w:numPr>
          <w:ilvl w:val="0"/>
          <w:numId w:val="27"/>
        </w:numPr>
        <w:ind w:left="0" w:hanging="567"/>
        <w:jc w:val="both"/>
        <w:rPr>
          <w:color w:val="0D0D0D" w:themeColor="text1" w:themeTint="F2"/>
        </w:rPr>
      </w:pPr>
      <w:r w:rsidRPr="00120571">
        <w:rPr>
          <w:color w:val="0D0D0D" w:themeColor="text1" w:themeTint="F2"/>
        </w:rPr>
        <w:t>All treasury management operations have been conducted in full compliance with the Council's Treasury Management Practices.</w:t>
      </w:r>
    </w:p>
    <w:p w14:paraId="06DB0CF3" w14:textId="77777777" w:rsidR="00AA6F2D" w:rsidRDefault="00AA6F2D" w:rsidP="008F2670">
      <w:pPr>
        <w:jc w:val="both"/>
        <w:rPr>
          <w:rFonts w:cs="Arial"/>
          <w:bCs/>
          <w:szCs w:val="24"/>
          <w:highlight w:val="yellow"/>
        </w:rPr>
      </w:pPr>
    </w:p>
    <w:p w14:paraId="6B283CEC" w14:textId="1743450E" w:rsidR="00AA6F2D" w:rsidRDefault="00AA6F2D" w:rsidP="00AA6F2D">
      <w:pPr>
        <w:pStyle w:val="Heading4"/>
        <w:tabs>
          <w:tab w:val="left" w:pos="3600"/>
        </w:tabs>
        <w:rPr>
          <w:color w:val="0000FF"/>
          <w:szCs w:val="24"/>
        </w:rPr>
      </w:pPr>
      <w:r>
        <w:rPr>
          <w:color w:val="0000FF"/>
          <w:szCs w:val="24"/>
        </w:rPr>
        <w:t>Prudential Indicator for Capital Expenditure</w:t>
      </w:r>
    </w:p>
    <w:p w14:paraId="0ABCF864" w14:textId="0899E7CC" w:rsidR="00AA6F2D" w:rsidRDefault="00AA6F2D" w:rsidP="00AA6F2D"/>
    <w:p w14:paraId="18290B8D" w14:textId="207ABC85" w:rsidR="00B6453B" w:rsidRPr="00120571" w:rsidRDefault="00B6453B" w:rsidP="00337D90">
      <w:pPr>
        <w:pStyle w:val="ListParagraph"/>
        <w:numPr>
          <w:ilvl w:val="0"/>
          <w:numId w:val="27"/>
        </w:numPr>
        <w:ind w:left="0" w:hanging="567"/>
        <w:jc w:val="both"/>
        <w:rPr>
          <w:color w:val="0D0D0D" w:themeColor="text1" w:themeTint="F2"/>
        </w:rPr>
      </w:pPr>
      <w:r w:rsidRPr="00120571">
        <w:rPr>
          <w:color w:val="0D0D0D" w:themeColor="text1" w:themeTint="F2"/>
        </w:rPr>
        <w:t xml:space="preserve">The Council’s Capital Programme is </w:t>
      </w:r>
      <w:r w:rsidR="00AF6503" w:rsidRPr="00120571">
        <w:rPr>
          <w:color w:val="0D0D0D" w:themeColor="text1" w:themeTint="F2"/>
        </w:rPr>
        <w:t>a</w:t>
      </w:r>
      <w:r w:rsidRPr="00120571">
        <w:rPr>
          <w:color w:val="0D0D0D" w:themeColor="text1" w:themeTint="F2"/>
        </w:rPr>
        <w:t xml:space="preserve"> key driver of Treasury Management activity.  The output of the Capital Programme is reflected in the statutory prudential indicators, which are designed to</w:t>
      </w:r>
      <w:r w:rsidR="00AF6503" w:rsidRPr="00120571">
        <w:rPr>
          <w:color w:val="0D0D0D" w:themeColor="text1" w:themeTint="F2"/>
        </w:rPr>
        <w:t xml:space="preserve"> provide Member’s with an overview of the impact of the capital expenditure plans and ensure that these remain prudent</w:t>
      </w:r>
      <w:r w:rsidR="00F74B49" w:rsidRPr="00120571">
        <w:rPr>
          <w:color w:val="0D0D0D" w:themeColor="text1" w:themeTint="F2"/>
        </w:rPr>
        <w:t xml:space="preserve">, </w:t>
      </w:r>
      <w:r w:rsidR="00AF6503" w:rsidRPr="00120571">
        <w:rPr>
          <w:color w:val="0D0D0D" w:themeColor="text1" w:themeTint="F2"/>
        </w:rPr>
        <w:t>affordable</w:t>
      </w:r>
      <w:r w:rsidR="00F74B49" w:rsidRPr="00120571">
        <w:rPr>
          <w:color w:val="0D0D0D" w:themeColor="text1" w:themeTint="F2"/>
        </w:rPr>
        <w:t xml:space="preserve"> and sustainable</w:t>
      </w:r>
      <w:r w:rsidRPr="00120571">
        <w:rPr>
          <w:color w:val="0D0D0D" w:themeColor="text1" w:themeTint="F2"/>
        </w:rPr>
        <w:t xml:space="preserve">. </w:t>
      </w:r>
    </w:p>
    <w:p w14:paraId="0BBF9445" w14:textId="77777777" w:rsidR="00B6453B" w:rsidRDefault="00B6453B" w:rsidP="00AA6F2D">
      <w:pPr>
        <w:jc w:val="both"/>
        <w:rPr>
          <w:rFonts w:cs="Arial"/>
          <w:bCs/>
          <w:szCs w:val="24"/>
          <w:highlight w:val="yellow"/>
        </w:rPr>
      </w:pPr>
    </w:p>
    <w:p w14:paraId="20974F5D" w14:textId="7E56B0BF" w:rsidR="00AA6F2D" w:rsidRPr="00120571" w:rsidRDefault="00B6453B" w:rsidP="00337D90">
      <w:pPr>
        <w:pStyle w:val="ListParagraph"/>
        <w:numPr>
          <w:ilvl w:val="0"/>
          <w:numId w:val="27"/>
        </w:numPr>
        <w:ind w:left="0" w:hanging="567"/>
        <w:jc w:val="both"/>
        <w:rPr>
          <w:color w:val="0D0D0D" w:themeColor="text1" w:themeTint="F2"/>
        </w:rPr>
      </w:pPr>
      <w:r w:rsidRPr="00120571">
        <w:rPr>
          <w:color w:val="0D0D0D" w:themeColor="text1" w:themeTint="F2"/>
        </w:rPr>
        <w:t>Table 1</w:t>
      </w:r>
      <w:r w:rsidR="00AA6F2D" w:rsidRPr="00120571">
        <w:rPr>
          <w:color w:val="0D0D0D" w:themeColor="text1" w:themeTint="F2"/>
        </w:rPr>
        <w:t xml:space="preserve"> shows the revised estimates for capital expenditure </w:t>
      </w:r>
      <w:r w:rsidR="00416031" w:rsidRPr="00120571">
        <w:rPr>
          <w:color w:val="0D0D0D" w:themeColor="text1" w:themeTint="F2"/>
        </w:rPr>
        <w:t>to reflect</w:t>
      </w:r>
      <w:r w:rsidR="00AA6F2D" w:rsidRPr="00120571">
        <w:rPr>
          <w:color w:val="0D0D0D" w:themeColor="text1" w:themeTint="F2"/>
        </w:rPr>
        <w:t xml:space="preserve"> </w:t>
      </w:r>
      <w:r w:rsidRPr="00120571">
        <w:rPr>
          <w:color w:val="0D0D0D" w:themeColor="text1" w:themeTint="F2"/>
        </w:rPr>
        <w:t>updates to the 2021/22 capital programme</w:t>
      </w:r>
      <w:r w:rsidR="00AA6F2D" w:rsidRPr="00120571">
        <w:rPr>
          <w:color w:val="0D0D0D" w:themeColor="text1" w:themeTint="F2"/>
        </w:rPr>
        <w:t xml:space="preserve"> since the capital programme was agreed a</w:t>
      </w:r>
      <w:r w:rsidR="00F74B49" w:rsidRPr="00120571">
        <w:rPr>
          <w:color w:val="0D0D0D" w:themeColor="text1" w:themeTint="F2"/>
        </w:rPr>
        <w:t>s part of</w:t>
      </w:r>
      <w:r w:rsidR="00AA6F2D" w:rsidRPr="00120571">
        <w:rPr>
          <w:color w:val="0D0D0D" w:themeColor="text1" w:themeTint="F2"/>
        </w:rPr>
        <w:t xml:space="preserve"> the</w:t>
      </w:r>
      <w:r w:rsidR="00F74B49" w:rsidRPr="00120571">
        <w:rPr>
          <w:color w:val="0D0D0D" w:themeColor="text1" w:themeTint="F2"/>
        </w:rPr>
        <w:t xml:space="preserve"> 2021/22</w:t>
      </w:r>
      <w:r w:rsidR="00AA6F2D" w:rsidRPr="00120571">
        <w:rPr>
          <w:color w:val="0D0D0D" w:themeColor="text1" w:themeTint="F2"/>
        </w:rPr>
        <w:t xml:space="preserve"> Budget.</w:t>
      </w:r>
    </w:p>
    <w:p w14:paraId="18D1B0A1" w14:textId="3F71DF2A" w:rsidR="0058418A" w:rsidRDefault="0058418A" w:rsidP="00AA6F2D">
      <w:pPr>
        <w:jc w:val="both"/>
        <w:rPr>
          <w:rFonts w:cs="Arial"/>
          <w:bCs/>
          <w:szCs w:val="24"/>
          <w:highlight w:val="yellow"/>
        </w:rPr>
      </w:pPr>
    </w:p>
    <w:p w14:paraId="4C928863" w14:textId="69E87584" w:rsidR="00B6453B" w:rsidRPr="004A264F" w:rsidRDefault="00B6453B" w:rsidP="00AA6F2D">
      <w:pPr>
        <w:jc w:val="both"/>
        <w:rPr>
          <w:rFonts w:cs="Arial"/>
          <w:bCs/>
          <w:szCs w:val="24"/>
        </w:rPr>
      </w:pPr>
      <w:r w:rsidRPr="004A264F">
        <w:rPr>
          <w:rFonts w:cs="Arial"/>
          <w:bCs/>
          <w:szCs w:val="24"/>
        </w:rPr>
        <w:t>Table 1</w:t>
      </w:r>
    </w:p>
    <w:tbl>
      <w:tblPr>
        <w:tblW w:w="8920" w:type="dxa"/>
        <w:tblLook w:val="04A0" w:firstRow="1" w:lastRow="0" w:firstColumn="1" w:lastColumn="0" w:noHBand="0" w:noVBand="1"/>
      </w:tblPr>
      <w:tblGrid>
        <w:gridCol w:w="4480"/>
        <w:gridCol w:w="2220"/>
        <w:gridCol w:w="2220"/>
      </w:tblGrid>
      <w:tr w:rsidR="00663833" w:rsidRPr="00663833" w14:paraId="4EE8A88D" w14:textId="77777777" w:rsidTr="00663833">
        <w:trPr>
          <w:trHeight w:val="315"/>
        </w:trPr>
        <w:tc>
          <w:tcPr>
            <w:tcW w:w="4480" w:type="dxa"/>
            <w:tcBorders>
              <w:top w:val="single" w:sz="8" w:space="0" w:color="auto"/>
              <w:left w:val="single" w:sz="8" w:space="0" w:color="auto"/>
              <w:bottom w:val="nil"/>
              <w:right w:val="single" w:sz="8" w:space="0" w:color="auto"/>
            </w:tcBorders>
            <w:shd w:val="clear" w:color="000000" w:fill="B3B3B3"/>
            <w:vAlign w:val="center"/>
            <w:hideMark/>
          </w:tcPr>
          <w:p w14:paraId="3BDBEB9E" w14:textId="77777777" w:rsidR="00663833" w:rsidRPr="00663833" w:rsidRDefault="00663833" w:rsidP="00663833">
            <w:pPr>
              <w:rPr>
                <w:rFonts w:cs="Arial"/>
                <w:b/>
                <w:bCs/>
                <w:color w:val="000000"/>
                <w:sz w:val="22"/>
                <w:szCs w:val="22"/>
                <w:lang w:eastAsia="en-GB"/>
              </w:rPr>
            </w:pPr>
            <w:r w:rsidRPr="00663833">
              <w:rPr>
                <w:rFonts w:cs="Arial"/>
                <w:b/>
                <w:bCs/>
                <w:color w:val="000000"/>
                <w:sz w:val="22"/>
                <w:szCs w:val="22"/>
                <w:lang w:eastAsia="en-GB"/>
              </w:rPr>
              <w:t>Capital expenditure</w:t>
            </w:r>
          </w:p>
        </w:tc>
        <w:tc>
          <w:tcPr>
            <w:tcW w:w="2220" w:type="dxa"/>
            <w:tcBorders>
              <w:top w:val="single" w:sz="8" w:space="0" w:color="auto"/>
              <w:left w:val="nil"/>
              <w:bottom w:val="nil"/>
              <w:right w:val="single" w:sz="8" w:space="0" w:color="auto"/>
            </w:tcBorders>
            <w:shd w:val="clear" w:color="000000" w:fill="B3B3B3"/>
            <w:vAlign w:val="center"/>
            <w:hideMark/>
          </w:tcPr>
          <w:p w14:paraId="7EEAEB2E" w14:textId="77777777" w:rsidR="00663833" w:rsidRPr="00663833" w:rsidRDefault="00663833" w:rsidP="00663833">
            <w:pPr>
              <w:jc w:val="center"/>
              <w:rPr>
                <w:rFonts w:cs="Arial"/>
                <w:b/>
                <w:bCs/>
                <w:color w:val="000000"/>
                <w:sz w:val="22"/>
                <w:szCs w:val="22"/>
                <w:lang w:eastAsia="en-GB"/>
              </w:rPr>
            </w:pPr>
            <w:r w:rsidRPr="00663833">
              <w:rPr>
                <w:rFonts w:cs="Arial"/>
                <w:b/>
                <w:bCs/>
                <w:color w:val="000000"/>
                <w:sz w:val="22"/>
                <w:szCs w:val="22"/>
                <w:lang w:eastAsia="en-GB"/>
              </w:rPr>
              <w:t>2021/22</w:t>
            </w:r>
          </w:p>
        </w:tc>
        <w:tc>
          <w:tcPr>
            <w:tcW w:w="2220" w:type="dxa"/>
            <w:tcBorders>
              <w:top w:val="single" w:sz="8" w:space="0" w:color="auto"/>
              <w:left w:val="nil"/>
              <w:bottom w:val="nil"/>
              <w:right w:val="single" w:sz="8" w:space="0" w:color="auto"/>
            </w:tcBorders>
            <w:shd w:val="clear" w:color="000000" w:fill="B3B3B3"/>
            <w:vAlign w:val="center"/>
            <w:hideMark/>
          </w:tcPr>
          <w:p w14:paraId="154D3B4D" w14:textId="77777777" w:rsidR="00663833" w:rsidRPr="00663833" w:rsidRDefault="00663833" w:rsidP="00663833">
            <w:pPr>
              <w:jc w:val="center"/>
              <w:rPr>
                <w:rFonts w:cs="Arial"/>
                <w:b/>
                <w:bCs/>
                <w:color w:val="000000"/>
                <w:sz w:val="22"/>
                <w:szCs w:val="22"/>
                <w:lang w:eastAsia="en-GB"/>
              </w:rPr>
            </w:pPr>
            <w:r w:rsidRPr="00663833">
              <w:rPr>
                <w:rFonts w:cs="Arial"/>
                <w:b/>
                <w:bCs/>
                <w:color w:val="000000"/>
                <w:sz w:val="22"/>
                <w:szCs w:val="22"/>
                <w:lang w:eastAsia="en-GB"/>
              </w:rPr>
              <w:t>2021/22</w:t>
            </w:r>
          </w:p>
        </w:tc>
      </w:tr>
      <w:tr w:rsidR="00663833" w:rsidRPr="00663833" w14:paraId="60DF9E65" w14:textId="77777777" w:rsidTr="00663833">
        <w:trPr>
          <w:trHeight w:val="315"/>
        </w:trPr>
        <w:tc>
          <w:tcPr>
            <w:tcW w:w="4480" w:type="dxa"/>
            <w:tcBorders>
              <w:top w:val="nil"/>
              <w:left w:val="single" w:sz="8" w:space="0" w:color="auto"/>
              <w:bottom w:val="single" w:sz="8" w:space="0" w:color="auto"/>
              <w:right w:val="single" w:sz="8" w:space="0" w:color="auto"/>
            </w:tcBorders>
            <w:shd w:val="clear" w:color="000000" w:fill="B3B3B3"/>
            <w:vAlign w:val="center"/>
            <w:hideMark/>
          </w:tcPr>
          <w:p w14:paraId="4E97102C" w14:textId="77777777" w:rsidR="00663833" w:rsidRPr="00663833" w:rsidRDefault="00663833" w:rsidP="00663833">
            <w:pPr>
              <w:rPr>
                <w:rFonts w:cs="Arial"/>
                <w:b/>
                <w:bCs/>
                <w:color w:val="000000"/>
                <w:sz w:val="22"/>
                <w:szCs w:val="22"/>
                <w:lang w:eastAsia="en-GB"/>
              </w:rPr>
            </w:pPr>
            <w:r w:rsidRPr="00663833">
              <w:rPr>
                <w:rFonts w:cs="Arial"/>
                <w:b/>
                <w:bCs/>
                <w:color w:val="000000"/>
                <w:sz w:val="22"/>
                <w:szCs w:val="22"/>
                <w:lang w:eastAsia="en-GB"/>
              </w:rPr>
              <w:t>£'000</w:t>
            </w:r>
          </w:p>
        </w:tc>
        <w:tc>
          <w:tcPr>
            <w:tcW w:w="2220" w:type="dxa"/>
            <w:tcBorders>
              <w:top w:val="nil"/>
              <w:left w:val="nil"/>
              <w:bottom w:val="single" w:sz="8" w:space="0" w:color="auto"/>
              <w:right w:val="single" w:sz="8" w:space="0" w:color="auto"/>
            </w:tcBorders>
            <w:shd w:val="clear" w:color="000000" w:fill="B3B3B3"/>
            <w:vAlign w:val="center"/>
            <w:hideMark/>
          </w:tcPr>
          <w:p w14:paraId="145457DB" w14:textId="77777777" w:rsidR="00663833" w:rsidRPr="00663833" w:rsidRDefault="00663833" w:rsidP="00663833">
            <w:pPr>
              <w:jc w:val="center"/>
              <w:rPr>
                <w:rFonts w:cs="Arial"/>
                <w:b/>
                <w:bCs/>
                <w:color w:val="000000"/>
                <w:sz w:val="22"/>
                <w:szCs w:val="22"/>
                <w:lang w:eastAsia="en-GB"/>
              </w:rPr>
            </w:pPr>
            <w:r w:rsidRPr="00663833">
              <w:rPr>
                <w:rFonts w:cs="Arial"/>
                <w:b/>
                <w:bCs/>
                <w:color w:val="000000"/>
                <w:sz w:val="22"/>
                <w:szCs w:val="22"/>
                <w:lang w:eastAsia="en-GB"/>
              </w:rPr>
              <w:t>Original Estimate</w:t>
            </w:r>
          </w:p>
        </w:tc>
        <w:tc>
          <w:tcPr>
            <w:tcW w:w="2220" w:type="dxa"/>
            <w:tcBorders>
              <w:top w:val="nil"/>
              <w:left w:val="nil"/>
              <w:bottom w:val="single" w:sz="8" w:space="0" w:color="auto"/>
              <w:right w:val="single" w:sz="8" w:space="0" w:color="auto"/>
            </w:tcBorders>
            <w:shd w:val="clear" w:color="000000" w:fill="B3B3B3"/>
            <w:vAlign w:val="center"/>
            <w:hideMark/>
          </w:tcPr>
          <w:p w14:paraId="02BB274E" w14:textId="77777777" w:rsidR="00663833" w:rsidRPr="00663833" w:rsidRDefault="00663833" w:rsidP="00663833">
            <w:pPr>
              <w:jc w:val="center"/>
              <w:rPr>
                <w:rFonts w:cs="Arial"/>
                <w:b/>
                <w:bCs/>
                <w:color w:val="000000"/>
                <w:sz w:val="22"/>
                <w:szCs w:val="22"/>
                <w:lang w:eastAsia="en-GB"/>
              </w:rPr>
            </w:pPr>
            <w:r w:rsidRPr="00663833">
              <w:rPr>
                <w:rFonts w:cs="Arial"/>
                <w:b/>
                <w:bCs/>
                <w:color w:val="000000"/>
                <w:sz w:val="22"/>
                <w:szCs w:val="22"/>
                <w:lang w:eastAsia="en-GB"/>
              </w:rPr>
              <w:t>Revised Estimate</w:t>
            </w:r>
          </w:p>
        </w:tc>
      </w:tr>
      <w:tr w:rsidR="00663833" w:rsidRPr="00663833" w14:paraId="0C6D8FB3" w14:textId="77777777" w:rsidTr="00663833">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7DCC7855" w14:textId="77777777" w:rsidR="00663833" w:rsidRPr="00663833" w:rsidRDefault="00663833" w:rsidP="00663833">
            <w:pPr>
              <w:rPr>
                <w:rFonts w:cs="Arial"/>
                <w:color w:val="000000"/>
                <w:sz w:val="22"/>
                <w:szCs w:val="22"/>
                <w:lang w:eastAsia="en-GB"/>
              </w:rPr>
            </w:pPr>
            <w:r w:rsidRPr="00663833">
              <w:rPr>
                <w:rFonts w:cs="Arial"/>
                <w:color w:val="000000"/>
                <w:sz w:val="22"/>
                <w:szCs w:val="22"/>
                <w:lang w:eastAsia="en-GB"/>
              </w:rPr>
              <w:t>- Resources and Commercial</w:t>
            </w:r>
          </w:p>
        </w:tc>
        <w:tc>
          <w:tcPr>
            <w:tcW w:w="2220" w:type="dxa"/>
            <w:tcBorders>
              <w:top w:val="nil"/>
              <w:left w:val="nil"/>
              <w:bottom w:val="single" w:sz="8" w:space="0" w:color="auto"/>
              <w:right w:val="single" w:sz="8" w:space="0" w:color="auto"/>
            </w:tcBorders>
            <w:shd w:val="clear" w:color="auto" w:fill="auto"/>
            <w:vAlign w:val="center"/>
            <w:hideMark/>
          </w:tcPr>
          <w:p w14:paraId="28315E73" w14:textId="77777777" w:rsidR="00663833" w:rsidRPr="00663833" w:rsidRDefault="00663833" w:rsidP="00663833">
            <w:pPr>
              <w:jc w:val="right"/>
              <w:rPr>
                <w:rFonts w:cs="Arial"/>
                <w:color w:val="000000"/>
                <w:sz w:val="22"/>
                <w:szCs w:val="22"/>
                <w:lang w:eastAsia="en-GB"/>
              </w:rPr>
            </w:pPr>
            <w:r w:rsidRPr="00663833">
              <w:rPr>
                <w:rFonts w:cs="Arial"/>
                <w:color w:val="000000"/>
                <w:sz w:val="22"/>
                <w:szCs w:val="22"/>
                <w:lang w:eastAsia="en-GB"/>
              </w:rPr>
              <w:t>14,731</w:t>
            </w:r>
          </w:p>
        </w:tc>
        <w:tc>
          <w:tcPr>
            <w:tcW w:w="2220" w:type="dxa"/>
            <w:tcBorders>
              <w:top w:val="nil"/>
              <w:left w:val="nil"/>
              <w:bottom w:val="single" w:sz="8" w:space="0" w:color="auto"/>
              <w:right w:val="single" w:sz="8" w:space="0" w:color="auto"/>
            </w:tcBorders>
            <w:shd w:val="clear" w:color="000000" w:fill="FFFFFF"/>
            <w:vAlign w:val="center"/>
            <w:hideMark/>
          </w:tcPr>
          <w:p w14:paraId="09012824" w14:textId="77777777" w:rsidR="00663833" w:rsidRPr="00663833" w:rsidRDefault="00663833" w:rsidP="00663833">
            <w:pPr>
              <w:jc w:val="right"/>
              <w:rPr>
                <w:rFonts w:cs="Arial"/>
                <w:color w:val="000000"/>
                <w:sz w:val="22"/>
                <w:szCs w:val="22"/>
                <w:lang w:eastAsia="en-GB"/>
              </w:rPr>
            </w:pPr>
            <w:r w:rsidRPr="00663833">
              <w:rPr>
                <w:rFonts w:cs="Arial"/>
                <w:color w:val="000000"/>
                <w:sz w:val="22"/>
                <w:szCs w:val="22"/>
                <w:lang w:eastAsia="en-GB"/>
              </w:rPr>
              <w:t>14,583</w:t>
            </w:r>
          </w:p>
        </w:tc>
      </w:tr>
      <w:tr w:rsidR="00663833" w:rsidRPr="00663833" w14:paraId="36D03A9B" w14:textId="77777777" w:rsidTr="00663833">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622E765B" w14:textId="77777777" w:rsidR="00663833" w:rsidRPr="00663833" w:rsidRDefault="00663833" w:rsidP="00663833">
            <w:pPr>
              <w:rPr>
                <w:rFonts w:cs="Arial"/>
                <w:color w:val="000000"/>
                <w:sz w:val="22"/>
                <w:szCs w:val="22"/>
                <w:lang w:eastAsia="en-GB"/>
              </w:rPr>
            </w:pPr>
            <w:r w:rsidRPr="00663833">
              <w:rPr>
                <w:rFonts w:cs="Arial"/>
                <w:color w:val="000000"/>
                <w:sz w:val="22"/>
                <w:szCs w:val="22"/>
                <w:lang w:eastAsia="en-GB"/>
              </w:rPr>
              <w:t>- People's</w:t>
            </w:r>
          </w:p>
        </w:tc>
        <w:tc>
          <w:tcPr>
            <w:tcW w:w="2220" w:type="dxa"/>
            <w:tcBorders>
              <w:top w:val="nil"/>
              <w:left w:val="nil"/>
              <w:bottom w:val="single" w:sz="8" w:space="0" w:color="auto"/>
              <w:right w:val="single" w:sz="8" w:space="0" w:color="auto"/>
            </w:tcBorders>
            <w:shd w:val="clear" w:color="auto" w:fill="auto"/>
            <w:vAlign w:val="center"/>
            <w:hideMark/>
          </w:tcPr>
          <w:p w14:paraId="2B7F60F8" w14:textId="77777777" w:rsidR="00663833" w:rsidRPr="00663833" w:rsidRDefault="00663833" w:rsidP="00663833">
            <w:pPr>
              <w:jc w:val="right"/>
              <w:rPr>
                <w:rFonts w:cs="Arial"/>
                <w:color w:val="000000"/>
                <w:sz w:val="22"/>
                <w:szCs w:val="22"/>
                <w:lang w:eastAsia="en-GB"/>
              </w:rPr>
            </w:pPr>
            <w:r w:rsidRPr="00663833">
              <w:rPr>
                <w:rFonts w:cs="Arial"/>
                <w:color w:val="000000"/>
                <w:sz w:val="22"/>
                <w:szCs w:val="22"/>
                <w:lang w:eastAsia="en-GB"/>
              </w:rPr>
              <w:t>22,803</w:t>
            </w:r>
          </w:p>
        </w:tc>
        <w:tc>
          <w:tcPr>
            <w:tcW w:w="2220" w:type="dxa"/>
            <w:tcBorders>
              <w:top w:val="nil"/>
              <w:left w:val="nil"/>
              <w:bottom w:val="single" w:sz="8" w:space="0" w:color="auto"/>
              <w:right w:val="single" w:sz="8" w:space="0" w:color="auto"/>
            </w:tcBorders>
            <w:shd w:val="clear" w:color="000000" w:fill="FFFFFF"/>
            <w:vAlign w:val="center"/>
            <w:hideMark/>
          </w:tcPr>
          <w:p w14:paraId="50B7D0C0" w14:textId="77777777" w:rsidR="00663833" w:rsidRPr="00663833" w:rsidRDefault="00663833" w:rsidP="00663833">
            <w:pPr>
              <w:jc w:val="right"/>
              <w:rPr>
                <w:rFonts w:cs="Arial"/>
                <w:color w:val="000000"/>
                <w:sz w:val="22"/>
                <w:szCs w:val="22"/>
                <w:lang w:eastAsia="en-GB"/>
              </w:rPr>
            </w:pPr>
            <w:r w:rsidRPr="00663833">
              <w:rPr>
                <w:rFonts w:cs="Arial"/>
                <w:color w:val="000000"/>
                <w:sz w:val="22"/>
                <w:szCs w:val="22"/>
                <w:lang w:eastAsia="en-GB"/>
              </w:rPr>
              <w:t>11,528</w:t>
            </w:r>
          </w:p>
        </w:tc>
      </w:tr>
      <w:tr w:rsidR="00663833" w:rsidRPr="00663833" w14:paraId="582C9537" w14:textId="77777777" w:rsidTr="00663833">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6D651284" w14:textId="77777777" w:rsidR="00663833" w:rsidRPr="00663833" w:rsidRDefault="00663833" w:rsidP="00663833">
            <w:pPr>
              <w:rPr>
                <w:rFonts w:cs="Arial"/>
                <w:color w:val="000000"/>
                <w:sz w:val="22"/>
                <w:szCs w:val="22"/>
                <w:lang w:eastAsia="en-GB"/>
              </w:rPr>
            </w:pPr>
            <w:r w:rsidRPr="00663833">
              <w:rPr>
                <w:rFonts w:cs="Arial"/>
                <w:color w:val="000000"/>
                <w:sz w:val="22"/>
                <w:szCs w:val="22"/>
                <w:lang w:eastAsia="en-GB"/>
              </w:rPr>
              <w:t>- Community</w:t>
            </w:r>
          </w:p>
        </w:tc>
        <w:tc>
          <w:tcPr>
            <w:tcW w:w="2220" w:type="dxa"/>
            <w:tcBorders>
              <w:top w:val="nil"/>
              <w:left w:val="nil"/>
              <w:bottom w:val="single" w:sz="8" w:space="0" w:color="auto"/>
              <w:right w:val="single" w:sz="8" w:space="0" w:color="auto"/>
            </w:tcBorders>
            <w:shd w:val="clear" w:color="auto" w:fill="auto"/>
            <w:vAlign w:val="center"/>
            <w:hideMark/>
          </w:tcPr>
          <w:p w14:paraId="5984335C" w14:textId="77777777" w:rsidR="00663833" w:rsidRPr="00663833" w:rsidRDefault="00663833" w:rsidP="00663833">
            <w:pPr>
              <w:jc w:val="right"/>
              <w:rPr>
                <w:rFonts w:cs="Arial"/>
                <w:color w:val="000000"/>
                <w:sz w:val="22"/>
                <w:szCs w:val="22"/>
                <w:lang w:eastAsia="en-GB"/>
              </w:rPr>
            </w:pPr>
            <w:r w:rsidRPr="00663833">
              <w:rPr>
                <w:rFonts w:cs="Arial"/>
                <w:color w:val="000000"/>
                <w:sz w:val="22"/>
                <w:szCs w:val="22"/>
                <w:lang w:eastAsia="en-GB"/>
              </w:rPr>
              <w:t>48,092</w:t>
            </w:r>
          </w:p>
        </w:tc>
        <w:tc>
          <w:tcPr>
            <w:tcW w:w="2220" w:type="dxa"/>
            <w:tcBorders>
              <w:top w:val="nil"/>
              <w:left w:val="nil"/>
              <w:bottom w:val="single" w:sz="8" w:space="0" w:color="auto"/>
              <w:right w:val="single" w:sz="8" w:space="0" w:color="auto"/>
            </w:tcBorders>
            <w:shd w:val="clear" w:color="000000" w:fill="FFFFFF"/>
            <w:vAlign w:val="center"/>
            <w:hideMark/>
          </w:tcPr>
          <w:p w14:paraId="3FB32F5B" w14:textId="77777777" w:rsidR="00663833" w:rsidRPr="00663833" w:rsidRDefault="00663833" w:rsidP="00663833">
            <w:pPr>
              <w:jc w:val="right"/>
              <w:rPr>
                <w:rFonts w:cs="Arial"/>
                <w:color w:val="000000"/>
                <w:sz w:val="22"/>
                <w:szCs w:val="22"/>
                <w:lang w:eastAsia="en-GB"/>
              </w:rPr>
            </w:pPr>
            <w:r w:rsidRPr="00663833">
              <w:rPr>
                <w:rFonts w:cs="Arial"/>
                <w:color w:val="000000"/>
                <w:sz w:val="22"/>
                <w:szCs w:val="22"/>
                <w:lang w:eastAsia="en-GB"/>
              </w:rPr>
              <w:t>62,716</w:t>
            </w:r>
          </w:p>
        </w:tc>
      </w:tr>
      <w:tr w:rsidR="00663833" w:rsidRPr="00663833" w14:paraId="60F70EAB" w14:textId="77777777" w:rsidTr="00663833">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4165530B" w14:textId="77777777" w:rsidR="00663833" w:rsidRPr="00663833" w:rsidRDefault="00663833" w:rsidP="00663833">
            <w:pPr>
              <w:rPr>
                <w:rFonts w:cs="Arial"/>
                <w:b/>
                <w:bCs/>
                <w:color w:val="000000"/>
                <w:sz w:val="22"/>
                <w:szCs w:val="22"/>
                <w:lang w:eastAsia="en-GB"/>
              </w:rPr>
            </w:pPr>
            <w:r w:rsidRPr="00663833">
              <w:rPr>
                <w:rFonts w:cs="Arial"/>
                <w:b/>
                <w:bCs/>
                <w:color w:val="000000"/>
                <w:sz w:val="22"/>
                <w:szCs w:val="22"/>
                <w:lang w:eastAsia="en-GB"/>
              </w:rPr>
              <w:t>General Fund</w:t>
            </w:r>
          </w:p>
        </w:tc>
        <w:tc>
          <w:tcPr>
            <w:tcW w:w="2220" w:type="dxa"/>
            <w:tcBorders>
              <w:top w:val="nil"/>
              <w:left w:val="nil"/>
              <w:bottom w:val="single" w:sz="8" w:space="0" w:color="auto"/>
              <w:right w:val="single" w:sz="8" w:space="0" w:color="auto"/>
            </w:tcBorders>
            <w:shd w:val="clear" w:color="auto" w:fill="auto"/>
            <w:vAlign w:val="center"/>
            <w:hideMark/>
          </w:tcPr>
          <w:p w14:paraId="672FB4B2" w14:textId="77777777" w:rsidR="00663833" w:rsidRPr="00663833" w:rsidRDefault="00663833" w:rsidP="00663833">
            <w:pPr>
              <w:jc w:val="right"/>
              <w:rPr>
                <w:rFonts w:cs="Arial"/>
                <w:b/>
                <w:bCs/>
                <w:color w:val="000000"/>
                <w:sz w:val="22"/>
                <w:szCs w:val="22"/>
                <w:lang w:eastAsia="en-GB"/>
              </w:rPr>
            </w:pPr>
            <w:r w:rsidRPr="00663833">
              <w:rPr>
                <w:rFonts w:cs="Arial"/>
                <w:b/>
                <w:bCs/>
                <w:color w:val="000000"/>
                <w:sz w:val="22"/>
                <w:szCs w:val="22"/>
                <w:lang w:eastAsia="en-GB"/>
              </w:rPr>
              <w:t>85,626</w:t>
            </w:r>
          </w:p>
        </w:tc>
        <w:tc>
          <w:tcPr>
            <w:tcW w:w="2220" w:type="dxa"/>
            <w:tcBorders>
              <w:top w:val="nil"/>
              <w:left w:val="nil"/>
              <w:bottom w:val="single" w:sz="8" w:space="0" w:color="auto"/>
              <w:right w:val="single" w:sz="8" w:space="0" w:color="auto"/>
            </w:tcBorders>
            <w:shd w:val="clear" w:color="000000" w:fill="FFFFFF"/>
            <w:vAlign w:val="center"/>
            <w:hideMark/>
          </w:tcPr>
          <w:p w14:paraId="2C33F97E" w14:textId="77777777" w:rsidR="00663833" w:rsidRPr="00663833" w:rsidRDefault="00663833" w:rsidP="00663833">
            <w:pPr>
              <w:jc w:val="right"/>
              <w:rPr>
                <w:rFonts w:cs="Arial"/>
                <w:b/>
                <w:bCs/>
                <w:color w:val="000000"/>
                <w:sz w:val="22"/>
                <w:szCs w:val="22"/>
                <w:lang w:eastAsia="en-GB"/>
              </w:rPr>
            </w:pPr>
            <w:r w:rsidRPr="00663833">
              <w:rPr>
                <w:rFonts w:cs="Arial"/>
                <w:b/>
                <w:bCs/>
                <w:color w:val="000000"/>
                <w:sz w:val="22"/>
                <w:szCs w:val="22"/>
                <w:lang w:eastAsia="en-GB"/>
              </w:rPr>
              <w:t>88,827</w:t>
            </w:r>
          </w:p>
        </w:tc>
      </w:tr>
      <w:tr w:rsidR="00663833" w:rsidRPr="00663833" w14:paraId="1E351B39" w14:textId="77777777" w:rsidTr="00663833">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00FAA34C" w14:textId="77777777" w:rsidR="00663833" w:rsidRPr="00663833" w:rsidRDefault="00663833" w:rsidP="00663833">
            <w:pPr>
              <w:rPr>
                <w:rFonts w:cs="Arial"/>
                <w:b/>
                <w:bCs/>
                <w:color w:val="000000"/>
                <w:sz w:val="22"/>
                <w:szCs w:val="22"/>
                <w:lang w:eastAsia="en-GB"/>
              </w:rPr>
            </w:pPr>
            <w:r w:rsidRPr="00663833">
              <w:rPr>
                <w:rFonts w:cs="Arial"/>
                <w:b/>
                <w:bCs/>
                <w:color w:val="000000"/>
                <w:sz w:val="22"/>
                <w:szCs w:val="22"/>
                <w:lang w:eastAsia="en-GB"/>
              </w:rPr>
              <w:t>HRA</w:t>
            </w:r>
          </w:p>
        </w:tc>
        <w:tc>
          <w:tcPr>
            <w:tcW w:w="2220" w:type="dxa"/>
            <w:tcBorders>
              <w:top w:val="nil"/>
              <w:left w:val="nil"/>
              <w:bottom w:val="single" w:sz="8" w:space="0" w:color="auto"/>
              <w:right w:val="single" w:sz="8" w:space="0" w:color="auto"/>
            </w:tcBorders>
            <w:shd w:val="clear" w:color="auto" w:fill="auto"/>
            <w:vAlign w:val="center"/>
            <w:hideMark/>
          </w:tcPr>
          <w:p w14:paraId="2A5740AD" w14:textId="77777777" w:rsidR="00663833" w:rsidRPr="00663833" w:rsidRDefault="00663833" w:rsidP="00663833">
            <w:pPr>
              <w:jc w:val="right"/>
              <w:rPr>
                <w:rFonts w:cs="Arial"/>
                <w:b/>
                <w:bCs/>
                <w:color w:val="000000"/>
                <w:sz w:val="22"/>
                <w:szCs w:val="22"/>
                <w:lang w:eastAsia="en-GB"/>
              </w:rPr>
            </w:pPr>
            <w:r w:rsidRPr="00663833">
              <w:rPr>
                <w:rFonts w:cs="Arial"/>
                <w:b/>
                <w:bCs/>
                <w:color w:val="000000"/>
                <w:sz w:val="22"/>
                <w:szCs w:val="22"/>
                <w:lang w:eastAsia="en-GB"/>
              </w:rPr>
              <w:t>90,823</w:t>
            </w:r>
          </w:p>
        </w:tc>
        <w:tc>
          <w:tcPr>
            <w:tcW w:w="2220" w:type="dxa"/>
            <w:tcBorders>
              <w:top w:val="nil"/>
              <w:left w:val="nil"/>
              <w:bottom w:val="single" w:sz="8" w:space="0" w:color="auto"/>
              <w:right w:val="single" w:sz="8" w:space="0" w:color="auto"/>
            </w:tcBorders>
            <w:shd w:val="clear" w:color="000000" w:fill="FFFFFF"/>
            <w:vAlign w:val="center"/>
            <w:hideMark/>
          </w:tcPr>
          <w:p w14:paraId="7058EAD0" w14:textId="77777777" w:rsidR="00663833" w:rsidRPr="00663833" w:rsidRDefault="00663833" w:rsidP="00663833">
            <w:pPr>
              <w:jc w:val="right"/>
              <w:rPr>
                <w:rFonts w:cs="Arial"/>
                <w:b/>
                <w:bCs/>
                <w:color w:val="000000"/>
                <w:sz w:val="22"/>
                <w:szCs w:val="22"/>
                <w:lang w:eastAsia="en-GB"/>
              </w:rPr>
            </w:pPr>
            <w:r w:rsidRPr="00663833">
              <w:rPr>
                <w:rFonts w:cs="Arial"/>
                <w:b/>
                <w:bCs/>
                <w:color w:val="000000"/>
                <w:sz w:val="22"/>
                <w:szCs w:val="22"/>
                <w:lang w:eastAsia="en-GB"/>
              </w:rPr>
              <w:t>99,595</w:t>
            </w:r>
          </w:p>
        </w:tc>
      </w:tr>
      <w:tr w:rsidR="00663833" w:rsidRPr="00663833" w14:paraId="02CE77FE" w14:textId="77777777" w:rsidTr="00663833">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766219EB" w14:textId="77777777" w:rsidR="00663833" w:rsidRPr="00663833" w:rsidRDefault="00663833" w:rsidP="00663833">
            <w:pPr>
              <w:rPr>
                <w:rFonts w:cs="Arial"/>
                <w:b/>
                <w:bCs/>
                <w:color w:val="000000"/>
                <w:sz w:val="22"/>
                <w:szCs w:val="22"/>
                <w:lang w:eastAsia="en-GB"/>
              </w:rPr>
            </w:pPr>
            <w:r w:rsidRPr="00663833">
              <w:rPr>
                <w:rFonts w:cs="Arial"/>
                <w:b/>
                <w:bCs/>
                <w:color w:val="000000"/>
                <w:sz w:val="22"/>
                <w:szCs w:val="22"/>
                <w:lang w:eastAsia="en-GB"/>
              </w:rPr>
              <w:t>Total</w:t>
            </w:r>
          </w:p>
        </w:tc>
        <w:tc>
          <w:tcPr>
            <w:tcW w:w="2220" w:type="dxa"/>
            <w:tcBorders>
              <w:top w:val="nil"/>
              <w:left w:val="nil"/>
              <w:bottom w:val="single" w:sz="8" w:space="0" w:color="auto"/>
              <w:right w:val="single" w:sz="8" w:space="0" w:color="auto"/>
            </w:tcBorders>
            <w:shd w:val="clear" w:color="auto" w:fill="auto"/>
            <w:vAlign w:val="center"/>
            <w:hideMark/>
          </w:tcPr>
          <w:p w14:paraId="2C893FC3" w14:textId="77777777" w:rsidR="00663833" w:rsidRPr="00663833" w:rsidRDefault="00663833" w:rsidP="00663833">
            <w:pPr>
              <w:jc w:val="right"/>
              <w:rPr>
                <w:rFonts w:cs="Arial"/>
                <w:b/>
                <w:bCs/>
                <w:color w:val="000000"/>
                <w:sz w:val="22"/>
                <w:szCs w:val="22"/>
                <w:lang w:eastAsia="en-GB"/>
              </w:rPr>
            </w:pPr>
            <w:r w:rsidRPr="00663833">
              <w:rPr>
                <w:rFonts w:cs="Arial"/>
                <w:b/>
                <w:bCs/>
                <w:color w:val="000000"/>
                <w:sz w:val="22"/>
                <w:szCs w:val="22"/>
                <w:lang w:eastAsia="en-GB"/>
              </w:rPr>
              <w:t>176,449</w:t>
            </w:r>
          </w:p>
        </w:tc>
        <w:tc>
          <w:tcPr>
            <w:tcW w:w="2220" w:type="dxa"/>
            <w:tcBorders>
              <w:top w:val="nil"/>
              <w:left w:val="nil"/>
              <w:bottom w:val="single" w:sz="8" w:space="0" w:color="auto"/>
              <w:right w:val="single" w:sz="8" w:space="0" w:color="auto"/>
            </w:tcBorders>
            <w:shd w:val="clear" w:color="auto" w:fill="auto"/>
            <w:vAlign w:val="center"/>
            <w:hideMark/>
          </w:tcPr>
          <w:p w14:paraId="285FEB31" w14:textId="77777777" w:rsidR="00663833" w:rsidRPr="00663833" w:rsidRDefault="00663833" w:rsidP="00663833">
            <w:pPr>
              <w:jc w:val="right"/>
              <w:rPr>
                <w:rFonts w:cs="Arial"/>
                <w:b/>
                <w:bCs/>
                <w:color w:val="000000"/>
                <w:sz w:val="22"/>
                <w:szCs w:val="22"/>
                <w:lang w:eastAsia="en-GB"/>
              </w:rPr>
            </w:pPr>
            <w:r w:rsidRPr="00663833">
              <w:rPr>
                <w:rFonts w:cs="Arial"/>
                <w:b/>
                <w:bCs/>
                <w:color w:val="000000"/>
                <w:sz w:val="22"/>
                <w:szCs w:val="22"/>
                <w:lang w:eastAsia="en-GB"/>
              </w:rPr>
              <w:t>188,422</w:t>
            </w:r>
          </w:p>
        </w:tc>
      </w:tr>
    </w:tbl>
    <w:p w14:paraId="4A33AC77" w14:textId="3B6C1D22" w:rsidR="00B6453B" w:rsidRDefault="00B6453B" w:rsidP="00AA6F2D">
      <w:pPr>
        <w:jc w:val="both"/>
        <w:rPr>
          <w:rFonts w:cs="Arial"/>
          <w:bCs/>
          <w:szCs w:val="24"/>
          <w:highlight w:val="yellow"/>
        </w:rPr>
      </w:pPr>
    </w:p>
    <w:p w14:paraId="3DA67B44" w14:textId="7CFAA13D" w:rsidR="00B6453B" w:rsidRPr="00A402D8" w:rsidRDefault="00663833" w:rsidP="00337D90">
      <w:pPr>
        <w:pStyle w:val="ListParagraph"/>
        <w:numPr>
          <w:ilvl w:val="0"/>
          <w:numId w:val="27"/>
        </w:numPr>
        <w:ind w:left="0" w:hanging="567"/>
        <w:jc w:val="both"/>
        <w:rPr>
          <w:color w:val="0D0D0D" w:themeColor="text1" w:themeTint="F2"/>
        </w:rPr>
      </w:pPr>
      <w:r w:rsidRPr="00A402D8">
        <w:rPr>
          <w:color w:val="0D0D0D" w:themeColor="text1" w:themeTint="F2"/>
        </w:rPr>
        <w:t xml:space="preserve">The 2021/22 Q2 Capital Budget Monitoring </w:t>
      </w:r>
      <w:r w:rsidR="00FD089A" w:rsidRPr="00A402D8">
        <w:rPr>
          <w:color w:val="0D0D0D" w:themeColor="text1" w:themeTint="F2"/>
        </w:rPr>
        <w:t xml:space="preserve">Report provides further details of the updated forecast outturn position. </w:t>
      </w:r>
    </w:p>
    <w:p w14:paraId="09907782" w14:textId="064576D2" w:rsidR="00AA6F2D" w:rsidRPr="00F74B49" w:rsidRDefault="00AA6F2D" w:rsidP="00AA6F2D">
      <w:pPr>
        <w:jc w:val="both"/>
        <w:rPr>
          <w:rFonts w:cs="Arial"/>
          <w:bCs/>
          <w:szCs w:val="24"/>
          <w:highlight w:val="yellow"/>
        </w:rPr>
      </w:pPr>
    </w:p>
    <w:p w14:paraId="3A0B910D" w14:textId="147D8864" w:rsidR="00B6453B" w:rsidRDefault="00B6453B" w:rsidP="00B6453B">
      <w:pPr>
        <w:pStyle w:val="Heading4"/>
        <w:tabs>
          <w:tab w:val="left" w:pos="3600"/>
        </w:tabs>
      </w:pPr>
      <w:r w:rsidRPr="00B6453B">
        <w:rPr>
          <w:color w:val="0000FF"/>
          <w:szCs w:val="24"/>
        </w:rPr>
        <w:t>Changes to the Financing of the Capital Programme</w:t>
      </w:r>
      <w:r w:rsidRPr="003024FE">
        <w:rPr>
          <w:color w:val="0D0D0D" w:themeColor="text1" w:themeTint="F2"/>
        </w:rPr>
        <w:t xml:space="preserve">  </w:t>
      </w:r>
    </w:p>
    <w:p w14:paraId="31EBF96E" w14:textId="7698B54A" w:rsidR="00AA6F2D" w:rsidRDefault="00AA6F2D" w:rsidP="00AA6F2D">
      <w:pPr>
        <w:jc w:val="both"/>
        <w:rPr>
          <w:rFonts w:cs="Arial"/>
          <w:bCs/>
          <w:szCs w:val="24"/>
          <w:highlight w:val="yellow"/>
        </w:rPr>
      </w:pPr>
    </w:p>
    <w:p w14:paraId="5B6FDA7B" w14:textId="354065E1" w:rsidR="00B6453B" w:rsidRPr="00120571" w:rsidRDefault="00416031" w:rsidP="00337D90">
      <w:pPr>
        <w:pStyle w:val="ListParagraph"/>
        <w:numPr>
          <w:ilvl w:val="0"/>
          <w:numId w:val="27"/>
        </w:numPr>
        <w:ind w:left="0" w:hanging="567"/>
        <w:jc w:val="both"/>
        <w:rPr>
          <w:color w:val="0D0D0D" w:themeColor="text1" w:themeTint="F2"/>
        </w:rPr>
      </w:pPr>
      <w:r w:rsidRPr="00120571">
        <w:rPr>
          <w:color w:val="0D0D0D" w:themeColor="text1" w:themeTint="F2"/>
        </w:rPr>
        <w:t>Table 2</w:t>
      </w:r>
      <w:r w:rsidR="00B6453B" w:rsidRPr="00120571">
        <w:rPr>
          <w:color w:val="0D0D0D" w:themeColor="text1" w:themeTint="F2"/>
        </w:rPr>
        <w:t xml:space="preserve"> </w:t>
      </w:r>
      <w:r w:rsidR="00F74B49" w:rsidRPr="00120571">
        <w:rPr>
          <w:color w:val="0D0D0D" w:themeColor="text1" w:themeTint="F2"/>
        </w:rPr>
        <w:t>illustrates how the</w:t>
      </w:r>
      <w:r w:rsidR="00BC137F" w:rsidRPr="00120571">
        <w:rPr>
          <w:color w:val="0D0D0D" w:themeColor="text1" w:themeTint="F2"/>
        </w:rPr>
        <w:t xml:space="preserve"> Council’s</w:t>
      </w:r>
      <w:r w:rsidR="00F74B49" w:rsidRPr="00120571">
        <w:rPr>
          <w:color w:val="0D0D0D" w:themeColor="text1" w:themeTint="F2"/>
        </w:rPr>
        <w:t xml:space="preserve"> capital expenditure</w:t>
      </w:r>
      <w:r w:rsidR="00B6453B" w:rsidRPr="00120571">
        <w:rPr>
          <w:color w:val="0D0D0D" w:themeColor="text1" w:themeTint="F2"/>
        </w:rPr>
        <w:t xml:space="preserve"> plans (</w:t>
      </w:r>
      <w:r w:rsidRPr="00120571">
        <w:rPr>
          <w:color w:val="0D0D0D" w:themeColor="text1" w:themeTint="F2"/>
        </w:rPr>
        <w:t>table 1</w:t>
      </w:r>
      <w:r w:rsidR="00B6453B" w:rsidRPr="00120571">
        <w:rPr>
          <w:color w:val="0D0D0D" w:themeColor="text1" w:themeTint="F2"/>
        </w:rPr>
        <w:t xml:space="preserve">) </w:t>
      </w:r>
      <w:r w:rsidR="00F74B49" w:rsidRPr="00120571">
        <w:rPr>
          <w:color w:val="0D0D0D" w:themeColor="text1" w:themeTint="F2"/>
        </w:rPr>
        <w:t>will be funded</w:t>
      </w:r>
      <w:r w:rsidR="00B6453B" w:rsidRPr="00120571">
        <w:rPr>
          <w:color w:val="0D0D0D" w:themeColor="text1" w:themeTint="F2"/>
        </w:rPr>
        <w:t xml:space="preserve">.  The </w:t>
      </w:r>
      <w:r w:rsidRPr="00120571">
        <w:rPr>
          <w:color w:val="0D0D0D" w:themeColor="text1" w:themeTint="F2"/>
        </w:rPr>
        <w:t>net financing need for the year</w:t>
      </w:r>
      <w:r w:rsidR="00B6453B" w:rsidRPr="00120571">
        <w:rPr>
          <w:color w:val="0D0D0D" w:themeColor="text1" w:themeTint="F2"/>
        </w:rPr>
        <w:t xml:space="preserve"> increases the underlying indebtedness of the Council by way of the Capital Financing Requirement (CFR), although this will be reduced in part by revenue charges for the repayment of debt (the Minimum Revenue Provision).  This direct borrowing need may also be supplemented by maturing debt and other treasury requirements</w:t>
      </w:r>
      <w:r w:rsidRPr="00120571">
        <w:rPr>
          <w:color w:val="0D0D0D" w:themeColor="text1" w:themeTint="F2"/>
        </w:rPr>
        <w:t>.</w:t>
      </w:r>
    </w:p>
    <w:p w14:paraId="5064A96E" w14:textId="1F86F0F1" w:rsidR="00B6453B" w:rsidRDefault="00B6453B" w:rsidP="00AA6F2D">
      <w:pPr>
        <w:jc w:val="both"/>
        <w:rPr>
          <w:rFonts w:cs="Arial"/>
          <w:bCs/>
          <w:szCs w:val="24"/>
          <w:highlight w:val="yellow"/>
        </w:rPr>
      </w:pPr>
    </w:p>
    <w:p w14:paraId="16D61A21" w14:textId="77777777" w:rsidR="00BC137F" w:rsidRDefault="00BC137F" w:rsidP="00AA6F2D">
      <w:pPr>
        <w:jc w:val="both"/>
        <w:rPr>
          <w:rFonts w:cs="Arial"/>
          <w:bCs/>
          <w:szCs w:val="24"/>
          <w:highlight w:val="yellow"/>
        </w:rPr>
      </w:pPr>
    </w:p>
    <w:p w14:paraId="2FCCA46F" w14:textId="4038F843" w:rsidR="002350C2" w:rsidRPr="00136B10" w:rsidRDefault="00B6453B" w:rsidP="00416031">
      <w:pPr>
        <w:jc w:val="both"/>
        <w:rPr>
          <w:rFonts w:cs="Arial"/>
          <w:bCs/>
          <w:szCs w:val="24"/>
        </w:rPr>
      </w:pPr>
      <w:r w:rsidRPr="00136B10">
        <w:rPr>
          <w:rFonts w:cs="Arial"/>
          <w:bCs/>
          <w:szCs w:val="24"/>
        </w:rPr>
        <w:lastRenderedPageBreak/>
        <w:t>Table 2</w:t>
      </w:r>
    </w:p>
    <w:tbl>
      <w:tblPr>
        <w:tblW w:w="8920" w:type="dxa"/>
        <w:tblLook w:val="04A0" w:firstRow="1" w:lastRow="0" w:firstColumn="1" w:lastColumn="0" w:noHBand="0" w:noVBand="1"/>
      </w:tblPr>
      <w:tblGrid>
        <w:gridCol w:w="4480"/>
        <w:gridCol w:w="2220"/>
        <w:gridCol w:w="2220"/>
      </w:tblGrid>
      <w:tr w:rsidR="00FD089A" w:rsidRPr="00FD089A" w14:paraId="3C81FFEF" w14:textId="77777777" w:rsidTr="00FD089A">
        <w:trPr>
          <w:trHeight w:val="315"/>
        </w:trPr>
        <w:tc>
          <w:tcPr>
            <w:tcW w:w="4480"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3C5D7F4A"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 xml:space="preserve">Financing of capital expenditure </w:t>
            </w:r>
            <w:r w:rsidRPr="00FD089A">
              <w:rPr>
                <w:rFonts w:cs="Arial"/>
                <w:b/>
                <w:bCs/>
                <w:color w:val="000000"/>
                <w:sz w:val="22"/>
                <w:szCs w:val="22"/>
                <w:lang w:eastAsia="en-GB"/>
              </w:rPr>
              <w:br/>
              <w:t>£'000</w:t>
            </w:r>
          </w:p>
        </w:tc>
        <w:tc>
          <w:tcPr>
            <w:tcW w:w="2220" w:type="dxa"/>
            <w:tcBorders>
              <w:top w:val="single" w:sz="8" w:space="0" w:color="auto"/>
              <w:left w:val="nil"/>
              <w:bottom w:val="nil"/>
              <w:right w:val="single" w:sz="8" w:space="0" w:color="auto"/>
            </w:tcBorders>
            <w:shd w:val="clear" w:color="000000" w:fill="B3B3B3"/>
            <w:vAlign w:val="center"/>
            <w:hideMark/>
          </w:tcPr>
          <w:p w14:paraId="69E90209" w14:textId="77777777" w:rsidR="00FD089A" w:rsidRPr="00FD089A" w:rsidRDefault="00FD089A" w:rsidP="00FD089A">
            <w:pPr>
              <w:jc w:val="center"/>
              <w:rPr>
                <w:rFonts w:cs="Arial"/>
                <w:b/>
                <w:bCs/>
                <w:color w:val="000000"/>
                <w:sz w:val="22"/>
                <w:szCs w:val="22"/>
                <w:lang w:eastAsia="en-GB"/>
              </w:rPr>
            </w:pPr>
            <w:r w:rsidRPr="00FD089A">
              <w:rPr>
                <w:rFonts w:cs="Arial"/>
                <w:b/>
                <w:bCs/>
                <w:color w:val="000000"/>
                <w:sz w:val="22"/>
                <w:szCs w:val="22"/>
                <w:lang w:eastAsia="en-GB"/>
              </w:rPr>
              <w:t>2021/22</w:t>
            </w:r>
          </w:p>
        </w:tc>
        <w:tc>
          <w:tcPr>
            <w:tcW w:w="2220" w:type="dxa"/>
            <w:tcBorders>
              <w:top w:val="single" w:sz="8" w:space="0" w:color="auto"/>
              <w:left w:val="nil"/>
              <w:bottom w:val="nil"/>
              <w:right w:val="single" w:sz="8" w:space="0" w:color="auto"/>
            </w:tcBorders>
            <w:shd w:val="clear" w:color="000000" w:fill="B3B3B3"/>
            <w:vAlign w:val="center"/>
            <w:hideMark/>
          </w:tcPr>
          <w:p w14:paraId="2B001067" w14:textId="77777777" w:rsidR="00FD089A" w:rsidRPr="00FD089A" w:rsidRDefault="00FD089A" w:rsidP="00FD089A">
            <w:pPr>
              <w:jc w:val="center"/>
              <w:rPr>
                <w:rFonts w:cs="Arial"/>
                <w:b/>
                <w:bCs/>
                <w:color w:val="000000"/>
                <w:sz w:val="22"/>
                <w:szCs w:val="22"/>
                <w:lang w:eastAsia="en-GB"/>
              </w:rPr>
            </w:pPr>
            <w:r w:rsidRPr="00FD089A">
              <w:rPr>
                <w:rFonts w:cs="Arial"/>
                <w:b/>
                <w:bCs/>
                <w:color w:val="000000"/>
                <w:sz w:val="22"/>
                <w:szCs w:val="22"/>
                <w:lang w:eastAsia="en-GB"/>
              </w:rPr>
              <w:t>2021/22</w:t>
            </w:r>
          </w:p>
        </w:tc>
      </w:tr>
      <w:tr w:rsidR="00FD089A" w:rsidRPr="00FD089A" w14:paraId="17982103" w14:textId="77777777" w:rsidTr="00FD089A">
        <w:trPr>
          <w:trHeight w:val="315"/>
        </w:trPr>
        <w:tc>
          <w:tcPr>
            <w:tcW w:w="4480" w:type="dxa"/>
            <w:vMerge/>
            <w:tcBorders>
              <w:top w:val="single" w:sz="8" w:space="0" w:color="auto"/>
              <w:left w:val="single" w:sz="8" w:space="0" w:color="auto"/>
              <w:bottom w:val="single" w:sz="8" w:space="0" w:color="000000"/>
              <w:right w:val="single" w:sz="8" w:space="0" w:color="auto"/>
            </w:tcBorders>
            <w:vAlign w:val="center"/>
            <w:hideMark/>
          </w:tcPr>
          <w:p w14:paraId="6244365C" w14:textId="77777777" w:rsidR="00FD089A" w:rsidRPr="00FD089A" w:rsidRDefault="00FD089A" w:rsidP="00FD089A">
            <w:pPr>
              <w:rPr>
                <w:rFonts w:cs="Arial"/>
                <w:b/>
                <w:bCs/>
                <w:color w:val="000000"/>
                <w:sz w:val="22"/>
                <w:szCs w:val="22"/>
                <w:lang w:eastAsia="en-GB"/>
              </w:rPr>
            </w:pPr>
          </w:p>
        </w:tc>
        <w:tc>
          <w:tcPr>
            <w:tcW w:w="2220" w:type="dxa"/>
            <w:tcBorders>
              <w:top w:val="nil"/>
              <w:left w:val="nil"/>
              <w:bottom w:val="single" w:sz="8" w:space="0" w:color="auto"/>
              <w:right w:val="single" w:sz="8" w:space="0" w:color="auto"/>
            </w:tcBorders>
            <w:shd w:val="clear" w:color="000000" w:fill="B3B3B3"/>
            <w:vAlign w:val="center"/>
            <w:hideMark/>
          </w:tcPr>
          <w:p w14:paraId="6DE64CA6" w14:textId="77777777" w:rsidR="00FD089A" w:rsidRPr="00FD089A" w:rsidRDefault="00FD089A" w:rsidP="00FD089A">
            <w:pPr>
              <w:jc w:val="center"/>
              <w:rPr>
                <w:rFonts w:cs="Arial"/>
                <w:b/>
                <w:bCs/>
                <w:color w:val="000000"/>
                <w:sz w:val="22"/>
                <w:szCs w:val="22"/>
                <w:lang w:eastAsia="en-GB"/>
              </w:rPr>
            </w:pPr>
            <w:r w:rsidRPr="00FD089A">
              <w:rPr>
                <w:rFonts w:cs="Arial"/>
                <w:b/>
                <w:bCs/>
                <w:color w:val="000000"/>
                <w:sz w:val="22"/>
                <w:szCs w:val="22"/>
                <w:lang w:eastAsia="en-GB"/>
              </w:rPr>
              <w:t>Original Estimate</w:t>
            </w:r>
          </w:p>
        </w:tc>
        <w:tc>
          <w:tcPr>
            <w:tcW w:w="2220" w:type="dxa"/>
            <w:tcBorders>
              <w:top w:val="nil"/>
              <w:left w:val="nil"/>
              <w:bottom w:val="single" w:sz="8" w:space="0" w:color="auto"/>
              <w:right w:val="single" w:sz="8" w:space="0" w:color="auto"/>
            </w:tcBorders>
            <w:shd w:val="clear" w:color="000000" w:fill="B3B3B3"/>
            <w:vAlign w:val="center"/>
            <w:hideMark/>
          </w:tcPr>
          <w:p w14:paraId="3717655B" w14:textId="77777777" w:rsidR="00FD089A" w:rsidRPr="00FD089A" w:rsidRDefault="00FD089A" w:rsidP="00FD089A">
            <w:pPr>
              <w:jc w:val="center"/>
              <w:rPr>
                <w:rFonts w:cs="Arial"/>
                <w:b/>
                <w:bCs/>
                <w:color w:val="000000"/>
                <w:sz w:val="22"/>
                <w:szCs w:val="22"/>
                <w:lang w:eastAsia="en-GB"/>
              </w:rPr>
            </w:pPr>
            <w:r w:rsidRPr="00FD089A">
              <w:rPr>
                <w:rFonts w:cs="Arial"/>
                <w:b/>
                <w:bCs/>
                <w:color w:val="000000"/>
                <w:sz w:val="22"/>
                <w:szCs w:val="22"/>
                <w:lang w:eastAsia="en-GB"/>
              </w:rPr>
              <w:t>Revised Estimate</w:t>
            </w:r>
          </w:p>
        </w:tc>
      </w:tr>
      <w:tr w:rsidR="00FD089A" w:rsidRPr="00FD089A" w14:paraId="69B89E00" w14:textId="77777777" w:rsidTr="00FD089A">
        <w:trPr>
          <w:trHeight w:val="315"/>
        </w:trPr>
        <w:tc>
          <w:tcPr>
            <w:tcW w:w="4480" w:type="dxa"/>
            <w:tcBorders>
              <w:top w:val="nil"/>
              <w:left w:val="single" w:sz="8" w:space="0" w:color="auto"/>
              <w:bottom w:val="single" w:sz="8" w:space="0" w:color="auto"/>
              <w:right w:val="nil"/>
            </w:tcBorders>
            <w:shd w:val="clear" w:color="000000" w:fill="FFFFFF"/>
            <w:vAlign w:val="center"/>
            <w:hideMark/>
          </w:tcPr>
          <w:p w14:paraId="42373879"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General Fund</w:t>
            </w:r>
          </w:p>
        </w:tc>
        <w:tc>
          <w:tcPr>
            <w:tcW w:w="2220" w:type="dxa"/>
            <w:tcBorders>
              <w:top w:val="nil"/>
              <w:left w:val="nil"/>
              <w:bottom w:val="single" w:sz="8" w:space="0" w:color="auto"/>
              <w:right w:val="nil"/>
            </w:tcBorders>
            <w:shd w:val="clear" w:color="000000" w:fill="FFFFFF"/>
            <w:vAlign w:val="center"/>
            <w:hideMark/>
          </w:tcPr>
          <w:p w14:paraId="5B7E3F44" w14:textId="77777777" w:rsidR="00FD089A" w:rsidRPr="00FD089A" w:rsidRDefault="00FD089A" w:rsidP="00FD089A">
            <w:pPr>
              <w:jc w:val="right"/>
              <w:rPr>
                <w:rFonts w:cs="Arial"/>
                <w:i/>
                <w:iCs/>
                <w:color w:val="000000"/>
                <w:sz w:val="22"/>
                <w:szCs w:val="22"/>
                <w:lang w:eastAsia="en-GB"/>
              </w:rPr>
            </w:pPr>
            <w:r w:rsidRPr="00FD089A">
              <w:rPr>
                <w:rFonts w:cs="Arial"/>
                <w:i/>
                <w:iCs/>
                <w:color w:val="000000"/>
                <w:sz w:val="22"/>
                <w:szCs w:val="22"/>
                <w:lang w:eastAsia="en-GB"/>
              </w:rPr>
              <w:t> </w:t>
            </w:r>
          </w:p>
        </w:tc>
        <w:tc>
          <w:tcPr>
            <w:tcW w:w="2220" w:type="dxa"/>
            <w:tcBorders>
              <w:top w:val="nil"/>
              <w:left w:val="nil"/>
              <w:bottom w:val="single" w:sz="8" w:space="0" w:color="auto"/>
              <w:right w:val="single" w:sz="8" w:space="0" w:color="auto"/>
            </w:tcBorders>
            <w:shd w:val="clear" w:color="000000" w:fill="FFFFFF"/>
            <w:vAlign w:val="center"/>
            <w:hideMark/>
          </w:tcPr>
          <w:p w14:paraId="154DEE38" w14:textId="77777777" w:rsidR="00FD089A" w:rsidRPr="00FD089A" w:rsidRDefault="00FD089A" w:rsidP="00FD089A">
            <w:pPr>
              <w:jc w:val="right"/>
              <w:rPr>
                <w:rFonts w:cs="Arial"/>
                <w:i/>
                <w:iCs/>
                <w:color w:val="000000"/>
                <w:sz w:val="22"/>
                <w:szCs w:val="22"/>
                <w:lang w:eastAsia="en-GB"/>
              </w:rPr>
            </w:pPr>
            <w:r w:rsidRPr="00FD089A">
              <w:rPr>
                <w:rFonts w:cs="Arial"/>
                <w:i/>
                <w:iCs/>
                <w:color w:val="000000"/>
                <w:sz w:val="22"/>
                <w:szCs w:val="22"/>
                <w:lang w:eastAsia="en-GB"/>
              </w:rPr>
              <w:t> </w:t>
            </w:r>
          </w:p>
        </w:tc>
      </w:tr>
      <w:tr w:rsidR="00FD089A" w:rsidRPr="00FD089A" w14:paraId="1C054CD9"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6A926706"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Capital Receipts</w:t>
            </w:r>
          </w:p>
        </w:tc>
        <w:tc>
          <w:tcPr>
            <w:tcW w:w="2220" w:type="dxa"/>
            <w:tcBorders>
              <w:top w:val="nil"/>
              <w:left w:val="nil"/>
              <w:bottom w:val="single" w:sz="8" w:space="0" w:color="auto"/>
              <w:right w:val="single" w:sz="8" w:space="0" w:color="auto"/>
            </w:tcBorders>
            <w:shd w:val="clear" w:color="000000" w:fill="FFFFFF"/>
            <w:vAlign w:val="center"/>
            <w:hideMark/>
          </w:tcPr>
          <w:p w14:paraId="0D874925"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2,641</w:t>
            </w:r>
          </w:p>
        </w:tc>
        <w:tc>
          <w:tcPr>
            <w:tcW w:w="2220" w:type="dxa"/>
            <w:tcBorders>
              <w:top w:val="nil"/>
              <w:left w:val="nil"/>
              <w:bottom w:val="single" w:sz="8" w:space="0" w:color="auto"/>
              <w:right w:val="single" w:sz="8" w:space="0" w:color="auto"/>
            </w:tcBorders>
            <w:shd w:val="clear" w:color="000000" w:fill="FFFFFF"/>
            <w:vAlign w:val="center"/>
            <w:hideMark/>
          </w:tcPr>
          <w:p w14:paraId="1A0DBC80"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 </w:t>
            </w:r>
          </w:p>
        </w:tc>
      </w:tr>
      <w:tr w:rsidR="00FD089A" w:rsidRPr="00FD089A" w14:paraId="6D2909D3"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261EC37"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Capital Grants</w:t>
            </w:r>
          </w:p>
        </w:tc>
        <w:tc>
          <w:tcPr>
            <w:tcW w:w="2220" w:type="dxa"/>
            <w:tcBorders>
              <w:top w:val="nil"/>
              <w:left w:val="nil"/>
              <w:bottom w:val="single" w:sz="8" w:space="0" w:color="auto"/>
              <w:right w:val="single" w:sz="8" w:space="0" w:color="auto"/>
            </w:tcBorders>
            <w:shd w:val="clear" w:color="000000" w:fill="FFFFFF"/>
            <w:vAlign w:val="center"/>
            <w:hideMark/>
          </w:tcPr>
          <w:p w14:paraId="51AFA31E"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27,362</w:t>
            </w:r>
          </w:p>
        </w:tc>
        <w:tc>
          <w:tcPr>
            <w:tcW w:w="2220" w:type="dxa"/>
            <w:tcBorders>
              <w:top w:val="nil"/>
              <w:left w:val="nil"/>
              <w:bottom w:val="single" w:sz="8" w:space="0" w:color="auto"/>
              <w:right w:val="single" w:sz="8" w:space="0" w:color="auto"/>
            </w:tcBorders>
            <w:shd w:val="clear" w:color="000000" w:fill="FFFFFF"/>
            <w:vAlign w:val="center"/>
            <w:hideMark/>
          </w:tcPr>
          <w:p w14:paraId="5A118505"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17,365</w:t>
            </w:r>
          </w:p>
        </w:tc>
      </w:tr>
      <w:tr w:rsidR="00FD089A" w:rsidRPr="00FD089A" w14:paraId="40104723"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5A6ACAE7"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BCiL</w:t>
            </w:r>
          </w:p>
        </w:tc>
        <w:tc>
          <w:tcPr>
            <w:tcW w:w="2220" w:type="dxa"/>
            <w:tcBorders>
              <w:top w:val="nil"/>
              <w:left w:val="nil"/>
              <w:bottom w:val="single" w:sz="8" w:space="0" w:color="auto"/>
              <w:right w:val="single" w:sz="8" w:space="0" w:color="auto"/>
            </w:tcBorders>
            <w:shd w:val="clear" w:color="000000" w:fill="FFFFFF"/>
            <w:vAlign w:val="center"/>
            <w:hideMark/>
          </w:tcPr>
          <w:p w14:paraId="4DF6E572"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4,027</w:t>
            </w:r>
          </w:p>
        </w:tc>
        <w:tc>
          <w:tcPr>
            <w:tcW w:w="2220" w:type="dxa"/>
            <w:tcBorders>
              <w:top w:val="nil"/>
              <w:left w:val="nil"/>
              <w:bottom w:val="single" w:sz="8" w:space="0" w:color="auto"/>
              <w:right w:val="single" w:sz="8" w:space="0" w:color="auto"/>
            </w:tcBorders>
            <w:shd w:val="clear" w:color="000000" w:fill="FFFFFF"/>
            <w:vAlign w:val="center"/>
            <w:hideMark/>
          </w:tcPr>
          <w:p w14:paraId="13CD24FA"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4,085</w:t>
            </w:r>
          </w:p>
        </w:tc>
      </w:tr>
      <w:tr w:rsidR="00FD089A" w:rsidRPr="00FD089A" w14:paraId="144B0470"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4B85EC05"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NCiL</w:t>
            </w:r>
          </w:p>
        </w:tc>
        <w:tc>
          <w:tcPr>
            <w:tcW w:w="2220" w:type="dxa"/>
            <w:tcBorders>
              <w:top w:val="nil"/>
              <w:left w:val="nil"/>
              <w:bottom w:val="single" w:sz="8" w:space="0" w:color="auto"/>
              <w:right w:val="single" w:sz="8" w:space="0" w:color="auto"/>
            </w:tcBorders>
            <w:shd w:val="clear" w:color="000000" w:fill="FFFFFF"/>
            <w:vAlign w:val="center"/>
            <w:hideMark/>
          </w:tcPr>
          <w:p w14:paraId="6BBC61A4"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500</w:t>
            </w:r>
          </w:p>
        </w:tc>
        <w:tc>
          <w:tcPr>
            <w:tcW w:w="2220" w:type="dxa"/>
            <w:tcBorders>
              <w:top w:val="nil"/>
              <w:left w:val="nil"/>
              <w:bottom w:val="single" w:sz="8" w:space="0" w:color="auto"/>
              <w:right w:val="single" w:sz="8" w:space="0" w:color="auto"/>
            </w:tcBorders>
            <w:shd w:val="clear" w:color="000000" w:fill="FFFFFF"/>
            <w:vAlign w:val="center"/>
            <w:hideMark/>
          </w:tcPr>
          <w:p w14:paraId="34FACB03"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588</w:t>
            </w:r>
          </w:p>
        </w:tc>
      </w:tr>
      <w:tr w:rsidR="00FD089A" w:rsidRPr="00FD089A" w14:paraId="1151AD1B"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CF60811"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Section 106</w:t>
            </w:r>
          </w:p>
        </w:tc>
        <w:tc>
          <w:tcPr>
            <w:tcW w:w="2220" w:type="dxa"/>
            <w:tcBorders>
              <w:top w:val="nil"/>
              <w:left w:val="nil"/>
              <w:bottom w:val="single" w:sz="8" w:space="0" w:color="auto"/>
              <w:right w:val="single" w:sz="8" w:space="0" w:color="auto"/>
            </w:tcBorders>
            <w:shd w:val="clear" w:color="000000" w:fill="FFFFFF"/>
            <w:vAlign w:val="center"/>
            <w:hideMark/>
          </w:tcPr>
          <w:p w14:paraId="25A043AD"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 </w:t>
            </w:r>
          </w:p>
        </w:tc>
        <w:tc>
          <w:tcPr>
            <w:tcW w:w="2220" w:type="dxa"/>
            <w:tcBorders>
              <w:top w:val="nil"/>
              <w:left w:val="nil"/>
              <w:bottom w:val="single" w:sz="8" w:space="0" w:color="auto"/>
              <w:right w:val="single" w:sz="8" w:space="0" w:color="auto"/>
            </w:tcBorders>
            <w:shd w:val="clear" w:color="000000" w:fill="FFFFFF"/>
            <w:vAlign w:val="center"/>
            <w:hideMark/>
          </w:tcPr>
          <w:p w14:paraId="105112FA"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1,091</w:t>
            </w:r>
          </w:p>
        </w:tc>
      </w:tr>
      <w:tr w:rsidR="00FD089A" w:rsidRPr="00FD089A" w14:paraId="76C25151"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056AA5B3"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Revenue</w:t>
            </w:r>
          </w:p>
        </w:tc>
        <w:tc>
          <w:tcPr>
            <w:tcW w:w="2220" w:type="dxa"/>
            <w:tcBorders>
              <w:top w:val="nil"/>
              <w:left w:val="nil"/>
              <w:bottom w:val="single" w:sz="8" w:space="0" w:color="auto"/>
              <w:right w:val="single" w:sz="8" w:space="0" w:color="auto"/>
            </w:tcBorders>
            <w:shd w:val="clear" w:color="000000" w:fill="FFFFFF"/>
            <w:vAlign w:val="center"/>
            <w:hideMark/>
          </w:tcPr>
          <w:p w14:paraId="6763830A"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 </w:t>
            </w:r>
          </w:p>
        </w:tc>
        <w:tc>
          <w:tcPr>
            <w:tcW w:w="2220" w:type="dxa"/>
            <w:tcBorders>
              <w:top w:val="nil"/>
              <w:left w:val="nil"/>
              <w:bottom w:val="single" w:sz="8" w:space="0" w:color="auto"/>
              <w:right w:val="single" w:sz="8" w:space="0" w:color="auto"/>
            </w:tcBorders>
            <w:shd w:val="clear" w:color="000000" w:fill="FFFFFF"/>
            <w:vAlign w:val="center"/>
            <w:hideMark/>
          </w:tcPr>
          <w:p w14:paraId="6FA70D9E"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425</w:t>
            </w:r>
          </w:p>
        </w:tc>
      </w:tr>
      <w:tr w:rsidR="00FD089A" w:rsidRPr="00FD089A" w14:paraId="73B5D5B8"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7B6986C"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External Funding</w:t>
            </w:r>
          </w:p>
        </w:tc>
        <w:tc>
          <w:tcPr>
            <w:tcW w:w="2220" w:type="dxa"/>
            <w:tcBorders>
              <w:top w:val="nil"/>
              <w:left w:val="nil"/>
              <w:bottom w:val="single" w:sz="8" w:space="0" w:color="auto"/>
              <w:right w:val="single" w:sz="8" w:space="0" w:color="auto"/>
            </w:tcBorders>
            <w:shd w:val="clear" w:color="000000" w:fill="FFFFFF"/>
            <w:vAlign w:val="center"/>
            <w:hideMark/>
          </w:tcPr>
          <w:p w14:paraId="530234C9"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34,530</w:t>
            </w:r>
          </w:p>
        </w:tc>
        <w:tc>
          <w:tcPr>
            <w:tcW w:w="2220" w:type="dxa"/>
            <w:tcBorders>
              <w:top w:val="nil"/>
              <w:left w:val="nil"/>
              <w:bottom w:val="single" w:sz="8" w:space="0" w:color="auto"/>
              <w:right w:val="single" w:sz="8" w:space="0" w:color="auto"/>
            </w:tcBorders>
            <w:shd w:val="clear" w:color="000000" w:fill="FFFFFF"/>
            <w:vAlign w:val="center"/>
            <w:hideMark/>
          </w:tcPr>
          <w:p w14:paraId="16AFDCC9"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23,554</w:t>
            </w:r>
          </w:p>
        </w:tc>
      </w:tr>
      <w:tr w:rsidR="00FD089A" w:rsidRPr="00FD089A" w14:paraId="357EB9C6"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21D4F7B8"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Net financing need for year (GF)</w:t>
            </w:r>
          </w:p>
        </w:tc>
        <w:tc>
          <w:tcPr>
            <w:tcW w:w="2220" w:type="dxa"/>
            <w:tcBorders>
              <w:top w:val="nil"/>
              <w:left w:val="nil"/>
              <w:bottom w:val="single" w:sz="8" w:space="0" w:color="auto"/>
              <w:right w:val="single" w:sz="8" w:space="0" w:color="auto"/>
            </w:tcBorders>
            <w:shd w:val="clear" w:color="000000" w:fill="FFFFFF"/>
            <w:vAlign w:val="center"/>
            <w:hideMark/>
          </w:tcPr>
          <w:p w14:paraId="02301BB3"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51,096</w:t>
            </w:r>
          </w:p>
        </w:tc>
        <w:tc>
          <w:tcPr>
            <w:tcW w:w="2220" w:type="dxa"/>
            <w:tcBorders>
              <w:top w:val="nil"/>
              <w:left w:val="nil"/>
              <w:bottom w:val="single" w:sz="8" w:space="0" w:color="auto"/>
              <w:right w:val="single" w:sz="8" w:space="0" w:color="auto"/>
            </w:tcBorders>
            <w:shd w:val="clear" w:color="000000" w:fill="FFFFFF"/>
            <w:vAlign w:val="center"/>
            <w:hideMark/>
          </w:tcPr>
          <w:p w14:paraId="0AA34AF1"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65,273</w:t>
            </w:r>
          </w:p>
        </w:tc>
      </w:tr>
      <w:tr w:rsidR="00FD089A" w:rsidRPr="00FD089A" w14:paraId="22783C24" w14:textId="77777777" w:rsidTr="00FD089A">
        <w:trPr>
          <w:trHeight w:val="300"/>
        </w:trPr>
        <w:tc>
          <w:tcPr>
            <w:tcW w:w="4480" w:type="dxa"/>
            <w:tcBorders>
              <w:top w:val="nil"/>
              <w:left w:val="single" w:sz="8" w:space="0" w:color="auto"/>
              <w:bottom w:val="nil"/>
              <w:right w:val="nil"/>
            </w:tcBorders>
            <w:shd w:val="clear" w:color="auto" w:fill="auto"/>
            <w:vAlign w:val="center"/>
            <w:hideMark/>
          </w:tcPr>
          <w:p w14:paraId="59A9B091"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 </w:t>
            </w:r>
          </w:p>
        </w:tc>
        <w:tc>
          <w:tcPr>
            <w:tcW w:w="2220" w:type="dxa"/>
            <w:tcBorders>
              <w:top w:val="nil"/>
              <w:left w:val="nil"/>
              <w:bottom w:val="nil"/>
              <w:right w:val="nil"/>
            </w:tcBorders>
            <w:shd w:val="clear" w:color="000000" w:fill="FFFFFF"/>
            <w:vAlign w:val="center"/>
            <w:hideMark/>
          </w:tcPr>
          <w:p w14:paraId="5DE79ED0"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 </w:t>
            </w:r>
          </w:p>
        </w:tc>
        <w:tc>
          <w:tcPr>
            <w:tcW w:w="2220" w:type="dxa"/>
            <w:tcBorders>
              <w:top w:val="nil"/>
              <w:left w:val="nil"/>
              <w:bottom w:val="nil"/>
              <w:right w:val="single" w:sz="8" w:space="0" w:color="auto"/>
            </w:tcBorders>
            <w:shd w:val="clear" w:color="000000" w:fill="FFFFFF"/>
            <w:vAlign w:val="center"/>
            <w:hideMark/>
          </w:tcPr>
          <w:p w14:paraId="19C4803C"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 </w:t>
            </w:r>
          </w:p>
        </w:tc>
      </w:tr>
      <w:tr w:rsidR="00FD089A" w:rsidRPr="00FD089A" w14:paraId="3D276F18" w14:textId="77777777" w:rsidTr="00FD089A">
        <w:trPr>
          <w:trHeight w:val="315"/>
        </w:trPr>
        <w:tc>
          <w:tcPr>
            <w:tcW w:w="4480" w:type="dxa"/>
            <w:tcBorders>
              <w:top w:val="nil"/>
              <w:left w:val="single" w:sz="8" w:space="0" w:color="auto"/>
              <w:bottom w:val="single" w:sz="8" w:space="0" w:color="auto"/>
              <w:right w:val="nil"/>
            </w:tcBorders>
            <w:shd w:val="clear" w:color="000000" w:fill="FFFFFF"/>
            <w:vAlign w:val="center"/>
            <w:hideMark/>
          </w:tcPr>
          <w:p w14:paraId="79A7E959"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HRA</w:t>
            </w:r>
          </w:p>
        </w:tc>
        <w:tc>
          <w:tcPr>
            <w:tcW w:w="2220" w:type="dxa"/>
            <w:tcBorders>
              <w:top w:val="nil"/>
              <w:left w:val="nil"/>
              <w:bottom w:val="single" w:sz="8" w:space="0" w:color="auto"/>
              <w:right w:val="nil"/>
            </w:tcBorders>
            <w:shd w:val="clear" w:color="000000" w:fill="FFFFFF"/>
            <w:vAlign w:val="center"/>
            <w:hideMark/>
          </w:tcPr>
          <w:p w14:paraId="39AFE4FB"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 </w:t>
            </w:r>
          </w:p>
        </w:tc>
        <w:tc>
          <w:tcPr>
            <w:tcW w:w="2220" w:type="dxa"/>
            <w:tcBorders>
              <w:top w:val="nil"/>
              <w:left w:val="nil"/>
              <w:bottom w:val="single" w:sz="8" w:space="0" w:color="auto"/>
              <w:right w:val="single" w:sz="8" w:space="0" w:color="auto"/>
            </w:tcBorders>
            <w:shd w:val="clear" w:color="000000" w:fill="FFFFFF"/>
            <w:vAlign w:val="center"/>
            <w:hideMark/>
          </w:tcPr>
          <w:p w14:paraId="2BF04F85"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 </w:t>
            </w:r>
          </w:p>
        </w:tc>
      </w:tr>
      <w:tr w:rsidR="00FD089A" w:rsidRPr="00FD089A" w14:paraId="7DF57FF1"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2CDDB407"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Capital Receipts</w:t>
            </w:r>
          </w:p>
        </w:tc>
        <w:tc>
          <w:tcPr>
            <w:tcW w:w="2220" w:type="dxa"/>
            <w:tcBorders>
              <w:top w:val="nil"/>
              <w:left w:val="nil"/>
              <w:bottom w:val="single" w:sz="8" w:space="0" w:color="auto"/>
              <w:right w:val="single" w:sz="8" w:space="0" w:color="auto"/>
            </w:tcBorders>
            <w:shd w:val="clear" w:color="000000" w:fill="FFFFFF"/>
            <w:vAlign w:val="center"/>
            <w:hideMark/>
          </w:tcPr>
          <w:p w14:paraId="50502EE2"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7,848</w:t>
            </w:r>
          </w:p>
        </w:tc>
        <w:tc>
          <w:tcPr>
            <w:tcW w:w="2220" w:type="dxa"/>
            <w:tcBorders>
              <w:top w:val="nil"/>
              <w:left w:val="nil"/>
              <w:bottom w:val="single" w:sz="8" w:space="0" w:color="auto"/>
              <w:right w:val="single" w:sz="8" w:space="0" w:color="auto"/>
            </w:tcBorders>
            <w:shd w:val="clear" w:color="000000" w:fill="FFFFFF"/>
            <w:vAlign w:val="center"/>
            <w:hideMark/>
          </w:tcPr>
          <w:p w14:paraId="2F2372BD"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13,727</w:t>
            </w:r>
          </w:p>
        </w:tc>
      </w:tr>
      <w:tr w:rsidR="00FD089A" w:rsidRPr="00FD089A" w14:paraId="788ADD05"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4E3A4519"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Capital Grants</w:t>
            </w:r>
          </w:p>
        </w:tc>
        <w:tc>
          <w:tcPr>
            <w:tcW w:w="2220" w:type="dxa"/>
            <w:tcBorders>
              <w:top w:val="nil"/>
              <w:left w:val="nil"/>
              <w:bottom w:val="single" w:sz="8" w:space="0" w:color="auto"/>
              <w:right w:val="single" w:sz="8" w:space="0" w:color="auto"/>
            </w:tcBorders>
            <w:shd w:val="clear" w:color="000000" w:fill="FFFFFF"/>
            <w:vAlign w:val="center"/>
            <w:hideMark/>
          </w:tcPr>
          <w:p w14:paraId="2C79B65C"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21,488</w:t>
            </w:r>
          </w:p>
        </w:tc>
        <w:tc>
          <w:tcPr>
            <w:tcW w:w="2220" w:type="dxa"/>
            <w:tcBorders>
              <w:top w:val="nil"/>
              <w:left w:val="nil"/>
              <w:bottom w:val="single" w:sz="8" w:space="0" w:color="auto"/>
              <w:right w:val="single" w:sz="8" w:space="0" w:color="auto"/>
            </w:tcBorders>
            <w:shd w:val="clear" w:color="000000" w:fill="FFFFFF"/>
            <w:vAlign w:val="center"/>
            <w:hideMark/>
          </w:tcPr>
          <w:p w14:paraId="5455BEF0"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17,997</w:t>
            </w:r>
          </w:p>
        </w:tc>
      </w:tr>
      <w:tr w:rsidR="00FD089A" w:rsidRPr="00FD089A" w14:paraId="6161E4B6"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024DEEDF"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Section 106</w:t>
            </w:r>
          </w:p>
        </w:tc>
        <w:tc>
          <w:tcPr>
            <w:tcW w:w="2220" w:type="dxa"/>
            <w:tcBorders>
              <w:top w:val="nil"/>
              <w:left w:val="nil"/>
              <w:bottom w:val="single" w:sz="8" w:space="0" w:color="auto"/>
              <w:right w:val="single" w:sz="8" w:space="0" w:color="auto"/>
            </w:tcBorders>
            <w:shd w:val="clear" w:color="000000" w:fill="FFFFFF"/>
            <w:vAlign w:val="center"/>
            <w:hideMark/>
          </w:tcPr>
          <w:p w14:paraId="02D1A3C7"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3,165</w:t>
            </w:r>
          </w:p>
        </w:tc>
        <w:tc>
          <w:tcPr>
            <w:tcW w:w="2220" w:type="dxa"/>
            <w:tcBorders>
              <w:top w:val="nil"/>
              <w:left w:val="nil"/>
              <w:bottom w:val="single" w:sz="8" w:space="0" w:color="auto"/>
              <w:right w:val="single" w:sz="8" w:space="0" w:color="auto"/>
            </w:tcBorders>
            <w:shd w:val="clear" w:color="000000" w:fill="FFFFFF"/>
            <w:vAlign w:val="center"/>
            <w:hideMark/>
          </w:tcPr>
          <w:p w14:paraId="3F84B6B4"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3,020</w:t>
            </w:r>
          </w:p>
        </w:tc>
      </w:tr>
      <w:tr w:rsidR="00FD089A" w:rsidRPr="00FD089A" w14:paraId="1A4421BF"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038FFDB3"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Revenue</w:t>
            </w:r>
          </w:p>
        </w:tc>
        <w:tc>
          <w:tcPr>
            <w:tcW w:w="2220" w:type="dxa"/>
            <w:tcBorders>
              <w:top w:val="nil"/>
              <w:left w:val="nil"/>
              <w:bottom w:val="single" w:sz="8" w:space="0" w:color="auto"/>
              <w:right w:val="single" w:sz="8" w:space="0" w:color="auto"/>
            </w:tcBorders>
            <w:shd w:val="clear" w:color="000000" w:fill="FFFFFF"/>
            <w:vAlign w:val="center"/>
            <w:hideMark/>
          </w:tcPr>
          <w:p w14:paraId="46047EDD"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12,143</w:t>
            </w:r>
          </w:p>
        </w:tc>
        <w:tc>
          <w:tcPr>
            <w:tcW w:w="2220" w:type="dxa"/>
            <w:tcBorders>
              <w:top w:val="nil"/>
              <w:left w:val="nil"/>
              <w:bottom w:val="single" w:sz="8" w:space="0" w:color="auto"/>
              <w:right w:val="single" w:sz="8" w:space="0" w:color="auto"/>
            </w:tcBorders>
            <w:shd w:val="clear" w:color="000000" w:fill="FFFFFF"/>
            <w:vAlign w:val="center"/>
            <w:hideMark/>
          </w:tcPr>
          <w:p w14:paraId="3583BF06"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12,950</w:t>
            </w:r>
          </w:p>
        </w:tc>
      </w:tr>
      <w:tr w:rsidR="00FD089A" w:rsidRPr="00FD089A" w14:paraId="667D9B81"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42CF6AB0"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External Funding</w:t>
            </w:r>
          </w:p>
        </w:tc>
        <w:tc>
          <w:tcPr>
            <w:tcW w:w="2220" w:type="dxa"/>
            <w:tcBorders>
              <w:top w:val="nil"/>
              <w:left w:val="nil"/>
              <w:bottom w:val="single" w:sz="8" w:space="0" w:color="auto"/>
              <w:right w:val="single" w:sz="8" w:space="0" w:color="auto"/>
            </w:tcBorders>
            <w:shd w:val="clear" w:color="000000" w:fill="FFFFFF"/>
            <w:vAlign w:val="center"/>
            <w:hideMark/>
          </w:tcPr>
          <w:p w14:paraId="2A3CB4A9"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44,644</w:t>
            </w:r>
          </w:p>
        </w:tc>
        <w:tc>
          <w:tcPr>
            <w:tcW w:w="2220" w:type="dxa"/>
            <w:tcBorders>
              <w:top w:val="nil"/>
              <w:left w:val="nil"/>
              <w:bottom w:val="single" w:sz="8" w:space="0" w:color="auto"/>
              <w:right w:val="single" w:sz="8" w:space="0" w:color="auto"/>
            </w:tcBorders>
            <w:shd w:val="clear" w:color="000000" w:fill="FFFFFF"/>
            <w:vAlign w:val="center"/>
            <w:hideMark/>
          </w:tcPr>
          <w:p w14:paraId="75EB7F3F"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47,694</w:t>
            </w:r>
          </w:p>
        </w:tc>
      </w:tr>
      <w:tr w:rsidR="00FD089A" w:rsidRPr="00FD089A" w14:paraId="20A12028"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7BC39B5F"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Net financing need for year (HRA)</w:t>
            </w:r>
          </w:p>
        </w:tc>
        <w:tc>
          <w:tcPr>
            <w:tcW w:w="2220" w:type="dxa"/>
            <w:tcBorders>
              <w:top w:val="nil"/>
              <w:left w:val="nil"/>
              <w:bottom w:val="single" w:sz="8" w:space="0" w:color="auto"/>
              <w:right w:val="single" w:sz="8" w:space="0" w:color="auto"/>
            </w:tcBorders>
            <w:shd w:val="clear" w:color="000000" w:fill="FFFFFF"/>
            <w:vAlign w:val="center"/>
            <w:hideMark/>
          </w:tcPr>
          <w:p w14:paraId="1A2C80DA"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46,179</w:t>
            </w:r>
          </w:p>
        </w:tc>
        <w:tc>
          <w:tcPr>
            <w:tcW w:w="2220" w:type="dxa"/>
            <w:tcBorders>
              <w:top w:val="nil"/>
              <w:left w:val="nil"/>
              <w:bottom w:val="single" w:sz="8" w:space="0" w:color="auto"/>
              <w:right w:val="single" w:sz="8" w:space="0" w:color="auto"/>
            </w:tcBorders>
            <w:shd w:val="clear" w:color="000000" w:fill="FFFFFF"/>
            <w:vAlign w:val="center"/>
            <w:hideMark/>
          </w:tcPr>
          <w:p w14:paraId="3857F00E"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51,901</w:t>
            </w:r>
          </w:p>
        </w:tc>
      </w:tr>
      <w:tr w:rsidR="00FD089A" w:rsidRPr="00FD089A" w14:paraId="2FD00C89"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605B548E"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 </w:t>
            </w:r>
          </w:p>
        </w:tc>
        <w:tc>
          <w:tcPr>
            <w:tcW w:w="2220" w:type="dxa"/>
            <w:tcBorders>
              <w:top w:val="nil"/>
              <w:left w:val="nil"/>
              <w:bottom w:val="single" w:sz="8" w:space="0" w:color="auto"/>
              <w:right w:val="single" w:sz="8" w:space="0" w:color="auto"/>
            </w:tcBorders>
            <w:shd w:val="clear" w:color="000000" w:fill="FFFFFF"/>
            <w:vAlign w:val="center"/>
            <w:hideMark/>
          </w:tcPr>
          <w:p w14:paraId="2AC7A401"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 </w:t>
            </w:r>
          </w:p>
        </w:tc>
        <w:tc>
          <w:tcPr>
            <w:tcW w:w="2220" w:type="dxa"/>
            <w:tcBorders>
              <w:top w:val="nil"/>
              <w:left w:val="nil"/>
              <w:bottom w:val="single" w:sz="8" w:space="0" w:color="auto"/>
              <w:right w:val="single" w:sz="8" w:space="0" w:color="auto"/>
            </w:tcBorders>
            <w:shd w:val="clear" w:color="000000" w:fill="FFFFFF"/>
            <w:vAlign w:val="center"/>
            <w:hideMark/>
          </w:tcPr>
          <w:p w14:paraId="47EB7ABA"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 </w:t>
            </w:r>
          </w:p>
        </w:tc>
      </w:tr>
      <w:tr w:rsidR="00FD089A" w:rsidRPr="00FD089A" w14:paraId="3AD17D08"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5B7DAAE0"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Total net financing need for year</w:t>
            </w:r>
          </w:p>
        </w:tc>
        <w:tc>
          <w:tcPr>
            <w:tcW w:w="2220" w:type="dxa"/>
            <w:tcBorders>
              <w:top w:val="nil"/>
              <w:left w:val="nil"/>
              <w:bottom w:val="single" w:sz="8" w:space="0" w:color="auto"/>
              <w:right w:val="single" w:sz="8" w:space="0" w:color="auto"/>
            </w:tcBorders>
            <w:shd w:val="clear" w:color="000000" w:fill="FFFFFF"/>
            <w:vAlign w:val="center"/>
            <w:hideMark/>
          </w:tcPr>
          <w:p w14:paraId="7F113BAC"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97,274</w:t>
            </w:r>
          </w:p>
        </w:tc>
        <w:tc>
          <w:tcPr>
            <w:tcW w:w="2220" w:type="dxa"/>
            <w:tcBorders>
              <w:top w:val="nil"/>
              <w:left w:val="nil"/>
              <w:bottom w:val="single" w:sz="8" w:space="0" w:color="auto"/>
              <w:right w:val="single" w:sz="8" w:space="0" w:color="auto"/>
            </w:tcBorders>
            <w:shd w:val="clear" w:color="000000" w:fill="FFFFFF"/>
            <w:vAlign w:val="center"/>
            <w:hideMark/>
          </w:tcPr>
          <w:p w14:paraId="532B2FB1"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117,174</w:t>
            </w:r>
          </w:p>
        </w:tc>
      </w:tr>
    </w:tbl>
    <w:p w14:paraId="6498F249" w14:textId="5A93D374" w:rsidR="00FD089A" w:rsidRDefault="00FD089A" w:rsidP="00416031">
      <w:pPr>
        <w:jc w:val="both"/>
        <w:rPr>
          <w:rFonts w:cs="Arial"/>
          <w:bCs/>
          <w:szCs w:val="24"/>
          <w:highlight w:val="yellow"/>
        </w:rPr>
      </w:pPr>
    </w:p>
    <w:p w14:paraId="2F490371" w14:textId="3B2AF692" w:rsidR="0058418A" w:rsidRDefault="0058418A" w:rsidP="0058418A">
      <w:pPr>
        <w:pStyle w:val="Heading4"/>
        <w:tabs>
          <w:tab w:val="left" w:pos="3600"/>
        </w:tabs>
      </w:pPr>
      <w:r>
        <w:rPr>
          <w:color w:val="0000FF"/>
          <w:szCs w:val="24"/>
        </w:rPr>
        <w:t xml:space="preserve">Capital Financing Requirement </w:t>
      </w:r>
    </w:p>
    <w:p w14:paraId="7A4E1726" w14:textId="7A4200F9" w:rsidR="008F2670" w:rsidRDefault="008F2670" w:rsidP="008F2670">
      <w:pPr>
        <w:rPr>
          <w:rFonts w:cs="Arial"/>
          <w:bCs/>
          <w:szCs w:val="24"/>
          <w:lang w:eastAsia="en-GB"/>
        </w:rPr>
      </w:pPr>
    </w:p>
    <w:p w14:paraId="487C3639" w14:textId="218A5A12" w:rsidR="00C870B1" w:rsidRPr="00120571" w:rsidRDefault="0058418A" w:rsidP="00337D90">
      <w:pPr>
        <w:pStyle w:val="ListParagraph"/>
        <w:numPr>
          <w:ilvl w:val="0"/>
          <w:numId w:val="27"/>
        </w:numPr>
        <w:ind w:left="0" w:hanging="567"/>
        <w:jc w:val="both"/>
        <w:rPr>
          <w:color w:val="0D0D0D" w:themeColor="text1" w:themeTint="F2"/>
        </w:rPr>
      </w:pPr>
      <w:r w:rsidRPr="00120571">
        <w:rPr>
          <w:color w:val="0D0D0D" w:themeColor="text1" w:themeTint="F2"/>
        </w:rPr>
        <w:t>The CFR is the total historic outstanding capital expenditure incurred by the Council, which has not yet been paid for from either revenue or capital resources.  It is essentially a measure of the Council’s underlying borrowing need.  Any new capital expenditure, which has not immediately been paid for, will increase the CFR.</w:t>
      </w:r>
      <w:r w:rsidR="00C870B1" w:rsidRPr="00120571">
        <w:rPr>
          <w:color w:val="0D0D0D" w:themeColor="text1" w:themeTint="F2"/>
        </w:rPr>
        <w:t xml:space="preserve"> The Council makes an annual charge to the revenue budget for the repayment of its debt liability, the Minimum Revenue Provision, which act</w:t>
      </w:r>
      <w:r w:rsidR="00BC137F" w:rsidRPr="00120571">
        <w:rPr>
          <w:color w:val="0D0D0D" w:themeColor="text1" w:themeTint="F2"/>
        </w:rPr>
        <w:t>s</w:t>
      </w:r>
      <w:r w:rsidR="00C870B1" w:rsidRPr="00120571">
        <w:rPr>
          <w:color w:val="0D0D0D" w:themeColor="text1" w:themeTint="F2"/>
        </w:rPr>
        <w:t xml:space="preserve"> to reduce the CFR</w:t>
      </w:r>
      <w:r w:rsidR="00BC137F" w:rsidRPr="00120571">
        <w:rPr>
          <w:color w:val="0D0D0D" w:themeColor="text1" w:themeTint="F2"/>
        </w:rPr>
        <w:t xml:space="preserve"> and charge prudential borrowing to the General Fund over time</w:t>
      </w:r>
      <w:r w:rsidR="00C870B1" w:rsidRPr="00120571">
        <w:rPr>
          <w:color w:val="0D0D0D" w:themeColor="text1" w:themeTint="F2"/>
        </w:rPr>
        <w:t>.</w:t>
      </w:r>
      <w:r w:rsidR="00FD089A">
        <w:rPr>
          <w:color w:val="0D0D0D" w:themeColor="text1" w:themeTint="F2"/>
        </w:rPr>
        <w:t xml:space="preserve">  </w:t>
      </w:r>
    </w:p>
    <w:p w14:paraId="075718B2" w14:textId="77777777" w:rsidR="00C870B1" w:rsidRPr="00120571" w:rsidRDefault="00C870B1" w:rsidP="00120571">
      <w:pPr>
        <w:pStyle w:val="ListParagraph"/>
        <w:ind w:left="426"/>
        <w:jc w:val="both"/>
        <w:rPr>
          <w:color w:val="0D0D0D" w:themeColor="text1" w:themeTint="F2"/>
        </w:rPr>
      </w:pPr>
    </w:p>
    <w:p w14:paraId="4B58825B" w14:textId="0023F154" w:rsidR="0058418A" w:rsidRPr="00120571" w:rsidRDefault="00A733A7" w:rsidP="00337D90">
      <w:pPr>
        <w:pStyle w:val="ListParagraph"/>
        <w:numPr>
          <w:ilvl w:val="0"/>
          <w:numId w:val="27"/>
        </w:numPr>
        <w:ind w:left="0" w:hanging="567"/>
        <w:jc w:val="both"/>
        <w:rPr>
          <w:color w:val="0D0D0D" w:themeColor="text1" w:themeTint="F2"/>
        </w:rPr>
      </w:pPr>
      <w:r>
        <w:rPr>
          <w:color w:val="0D0D0D" w:themeColor="text1" w:themeTint="F2"/>
        </w:rPr>
        <w:t xml:space="preserve">The Authority’s CFR at 31 March 2021 was £573m (GF £422m/HRA £151m). </w:t>
      </w:r>
      <w:r w:rsidR="00C870B1" w:rsidRPr="00120571">
        <w:rPr>
          <w:color w:val="0D0D0D" w:themeColor="text1" w:themeTint="F2"/>
        </w:rPr>
        <w:t>T</w:t>
      </w:r>
      <w:r w:rsidR="0058418A" w:rsidRPr="00120571">
        <w:rPr>
          <w:color w:val="0D0D0D" w:themeColor="text1" w:themeTint="F2"/>
        </w:rPr>
        <w:t xml:space="preserve">able 3 reflects the latest </w:t>
      </w:r>
      <w:r w:rsidR="00C870B1" w:rsidRPr="00120571">
        <w:rPr>
          <w:color w:val="0D0D0D" w:themeColor="text1" w:themeTint="F2"/>
        </w:rPr>
        <w:t>projections</w:t>
      </w:r>
      <w:r w:rsidR="0058418A" w:rsidRPr="00120571">
        <w:rPr>
          <w:color w:val="0D0D0D" w:themeColor="text1" w:themeTint="F2"/>
        </w:rPr>
        <w:t xml:space="preserve"> for the CFR based on the</w:t>
      </w:r>
      <w:r>
        <w:rPr>
          <w:color w:val="0D0D0D" w:themeColor="text1" w:themeTint="F2"/>
        </w:rPr>
        <w:t xml:space="preserve"> forecast outturn from the</w:t>
      </w:r>
      <w:r w:rsidR="0058418A" w:rsidRPr="00120571">
        <w:rPr>
          <w:color w:val="0D0D0D" w:themeColor="text1" w:themeTint="F2"/>
        </w:rPr>
        <w:t xml:space="preserve"> </w:t>
      </w:r>
      <w:r>
        <w:rPr>
          <w:color w:val="0D0D0D" w:themeColor="text1" w:themeTint="F2"/>
        </w:rPr>
        <w:t>2021/22 Q2 Capital Budget Monitoring Report,</w:t>
      </w:r>
      <w:r w:rsidR="00C870B1" w:rsidRPr="00120571">
        <w:rPr>
          <w:color w:val="0D0D0D" w:themeColor="text1" w:themeTint="F2"/>
        </w:rPr>
        <w:t xml:space="preserve"> summarised in tables 1 and 2, and the Minimum Revenue Provision included within the 2021/22 Revenue Budget.</w:t>
      </w:r>
    </w:p>
    <w:p w14:paraId="2E33FDC6" w14:textId="7DEDC1C9" w:rsidR="0058418A" w:rsidRDefault="0058418A" w:rsidP="0058418A">
      <w:pPr>
        <w:jc w:val="both"/>
        <w:rPr>
          <w:rFonts w:cs="Arial"/>
          <w:bCs/>
          <w:szCs w:val="24"/>
          <w:highlight w:val="yellow"/>
        </w:rPr>
      </w:pPr>
    </w:p>
    <w:p w14:paraId="2530248C" w14:textId="42F6DFB5" w:rsidR="00A733A7" w:rsidRDefault="00A733A7" w:rsidP="0058418A">
      <w:pPr>
        <w:jc w:val="both"/>
        <w:rPr>
          <w:rFonts w:cs="Arial"/>
          <w:bCs/>
          <w:szCs w:val="24"/>
          <w:highlight w:val="yellow"/>
        </w:rPr>
      </w:pPr>
    </w:p>
    <w:p w14:paraId="13F0FC39" w14:textId="1F08C58A" w:rsidR="00A733A7" w:rsidRDefault="00A733A7" w:rsidP="0058418A">
      <w:pPr>
        <w:jc w:val="both"/>
        <w:rPr>
          <w:rFonts w:cs="Arial"/>
          <w:bCs/>
          <w:szCs w:val="24"/>
          <w:highlight w:val="yellow"/>
        </w:rPr>
      </w:pPr>
    </w:p>
    <w:p w14:paraId="2E8F06C4" w14:textId="4003598E" w:rsidR="00A733A7" w:rsidRDefault="00A733A7" w:rsidP="0058418A">
      <w:pPr>
        <w:jc w:val="both"/>
        <w:rPr>
          <w:rFonts w:cs="Arial"/>
          <w:bCs/>
          <w:szCs w:val="24"/>
          <w:highlight w:val="yellow"/>
        </w:rPr>
      </w:pPr>
    </w:p>
    <w:p w14:paraId="5B8F79F2" w14:textId="2A461F31" w:rsidR="00A733A7" w:rsidRDefault="00A733A7" w:rsidP="0058418A">
      <w:pPr>
        <w:jc w:val="both"/>
        <w:rPr>
          <w:rFonts w:cs="Arial"/>
          <w:bCs/>
          <w:szCs w:val="24"/>
          <w:highlight w:val="yellow"/>
        </w:rPr>
      </w:pPr>
    </w:p>
    <w:p w14:paraId="5F277251" w14:textId="07596D43" w:rsidR="00A733A7" w:rsidRDefault="00A733A7" w:rsidP="0058418A">
      <w:pPr>
        <w:jc w:val="both"/>
        <w:rPr>
          <w:rFonts w:cs="Arial"/>
          <w:bCs/>
          <w:szCs w:val="24"/>
          <w:highlight w:val="yellow"/>
        </w:rPr>
      </w:pPr>
    </w:p>
    <w:p w14:paraId="0CC16308" w14:textId="7200EC84" w:rsidR="00A733A7" w:rsidRDefault="00A733A7" w:rsidP="0058418A">
      <w:pPr>
        <w:jc w:val="both"/>
        <w:rPr>
          <w:rFonts w:cs="Arial"/>
          <w:bCs/>
          <w:szCs w:val="24"/>
          <w:highlight w:val="yellow"/>
        </w:rPr>
      </w:pPr>
    </w:p>
    <w:p w14:paraId="287E7027" w14:textId="77777777" w:rsidR="00A733A7" w:rsidRDefault="00A733A7" w:rsidP="0058418A">
      <w:pPr>
        <w:jc w:val="both"/>
        <w:rPr>
          <w:rFonts w:cs="Arial"/>
          <w:bCs/>
          <w:szCs w:val="24"/>
          <w:highlight w:val="yellow"/>
        </w:rPr>
      </w:pPr>
    </w:p>
    <w:p w14:paraId="3587E6A5" w14:textId="683DF611" w:rsidR="0058418A" w:rsidRPr="00136B10" w:rsidRDefault="0058418A" w:rsidP="0058418A">
      <w:pPr>
        <w:jc w:val="both"/>
        <w:rPr>
          <w:rFonts w:cs="Arial"/>
          <w:bCs/>
          <w:szCs w:val="24"/>
        </w:rPr>
      </w:pPr>
      <w:r w:rsidRPr="00136B10">
        <w:rPr>
          <w:rFonts w:cs="Arial"/>
          <w:bCs/>
          <w:szCs w:val="24"/>
        </w:rPr>
        <w:lastRenderedPageBreak/>
        <w:t>Table 3</w:t>
      </w:r>
    </w:p>
    <w:tbl>
      <w:tblPr>
        <w:tblW w:w="8920" w:type="dxa"/>
        <w:tblLook w:val="04A0" w:firstRow="1" w:lastRow="0" w:firstColumn="1" w:lastColumn="0" w:noHBand="0" w:noVBand="1"/>
      </w:tblPr>
      <w:tblGrid>
        <w:gridCol w:w="4480"/>
        <w:gridCol w:w="2220"/>
        <w:gridCol w:w="2220"/>
      </w:tblGrid>
      <w:tr w:rsidR="00FD089A" w:rsidRPr="00FD089A" w14:paraId="7E58765E" w14:textId="77777777" w:rsidTr="00FD089A">
        <w:trPr>
          <w:trHeight w:val="315"/>
        </w:trPr>
        <w:tc>
          <w:tcPr>
            <w:tcW w:w="4480"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61CF52DC"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Capital Financing Requirement</w:t>
            </w:r>
            <w:r w:rsidRPr="00FD089A">
              <w:rPr>
                <w:rFonts w:cs="Arial"/>
                <w:b/>
                <w:bCs/>
                <w:color w:val="000000"/>
                <w:sz w:val="22"/>
                <w:szCs w:val="22"/>
                <w:lang w:eastAsia="en-GB"/>
              </w:rPr>
              <w:br/>
              <w:t>£'000</w:t>
            </w:r>
          </w:p>
        </w:tc>
        <w:tc>
          <w:tcPr>
            <w:tcW w:w="2220" w:type="dxa"/>
            <w:tcBorders>
              <w:top w:val="single" w:sz="8" w:space="0" w:color="auto"/>
              <w:left w:val="nil"/>
              <w:bottom w:val="nil"/>
              <w:right w:val="single" w:sz="8" w:space="0" w:color="auto"/>
            </w:tcBorders>
            <w:shd w:val="clear" w:color="000000" w:fill="B3B3B3"/>
            <w:vAlign w:val="center"/>
            <w:hideMark/>
          </w:tcPr>
          <w:p w14:paraId="69AA9E3B" w14:textId="77777777" w:rsidR="00FD089A" w:rsidRPr="00FD089A" w:rsidRDefault="00FD089A" w:rsidP="00FD089A">
            <w:pPr>
              <w:jc w:val="center"/>
              <w:rPr>
                <w:rFonts w:cs="Arial"/>
                <w:b/>
                <w:bCs/>
                <w:color w:val="000000"/>
                <w:sz w:val="22"/>
                <w:szCs w:val="22"/>
                <w:lang w:eastAsia="en-GB"/>
              </w:rPr>
            </w:pPr>
            <w:r w:rsidRPr="00FD089A">
              <w:rPr>
                <w:rFonts w:cs="Arial"/>
                <w:b/>
                <w:bCs/>
                <w:color w:val="000000"/>
                <w:sz w:val="22"/>
                <w:szCs w:val="22"/>
                <w:lang w:eastAsia="en-GB"/>
              </w:rPr>
              <w:t>2021/22</w:t>
            </w:r>
          </w:p>
        </w:tc>
        <w:tc>
          <w:tcPr>
            <w:tcW w:w="2220" w:type="dxa"/>
            <w:tcBorders>
              <w:top w:val="single" w:sz="8" w:space="0" w:color="auto"/>
              <w:left w:val="nil"/>
              <w:bottom w:val="nil"/>
              <w:right w:val="single" w:sz="8" w:space="0" w:color="auto"/>
            </w:tcBorders>
            <w:shd w:val="clear" w:color="000000" w:fill="B3B3B3"/>
            <w:vAlign w:val="center"/>
            <w:hideMark/>
          </w:tcPr>
          <w:p w14:paraId="5185353E" w14:textId="77777777" w:rsidR="00FD089A" w:rsidRPr="00FD089A" w:rsidRDefault="00FD089A" w:rsidP="00FD089A">
            <w:pPr>
              <w:jc w:val="center"/>
              <w:rPr>
                <w:rFonts w:cs="Arial"/>
                <w:b/>
                <w:bCs/>
                <w:color w:val="000000"/>
                <w:sz w:val="22"/>
                <w:szCs w:val="22"/>
                <w:lang w:eastAsia="en-GB"/>
              </w:rPr>
            </w:pPr>
            <w:r w:rsidRPr="00FD089A">
              <w:rPr>
                <w:rFonts w:cs="Arial"/>
                <w:b/>
                <w:bCs/>
                <w:color w:val="000000"/>
                <w:sz w:val="22"/>
                <w:szCs w:val="22"/>
                <w:lang w:eastAsia="en-GB"/>
              </w:rPr>
              <w:t>2021/22</w:t>
            </w:r>
          </w:p>
        </w:tc>
      </w:tr>
      <w:tr w:rsidR="00FD089A" w:rsidRPr="00FD089A" w14:paraId="384CDD47" w14:textId="77777777" w:rsidTr="00FD089A">
        <w:trPr>
          <w:trHeight w:val="315"/>
        </w:trPr>
        <w:tc>
          <w:tcPr>
            <w:tcW w:w="4480" w:type="dxa"/>
            <w:vMerge/>
            <w:tcBorders>
              <w:top w:val="single" w:sz="8" w:space="0" w:color="auto"/>
              <w:left w:val="single" w:sz="8" w:space="0" w:color="auto"/>
              <w:bottom w:val="single" w:sz="8" w:space="0" w:color="000000"/>
              <w:right w:val="single" w:sz="8" w:space="0" w:color="auto"/>
            </w:tcBorders>
            <w:vAlign w:val="center"/>
            <w:hideMark/>
          </w:tcPr>
          <w:p w14:paraId="22C1F51A" w14:textId="77777777" w:rsidR="00FD089A" w:rsidRPr="00FD089A" w:rsidRDefault="00FD089A" w:rsidP="00FD089A">
            <w:pPr>
              <w:rPr>
                <w:rFonts w:cs="Arial"/>
                <w:b/>
                <w:bCs/>
                <w:color w:val="000000"/>
                <w:sz w:val="22"/>
                <w:szCs w:val="22"/>
                <w:lang w:eastAsia="en-GB"/>
              </w:rPr>
            </w:pPr>
          </w:p>
        </w:tc>
        <w:tc>
          <w:tcPr>
            <w:tcW w:w="2220" w:type="dxa"/>
            <w:tcBorders>
              <w:top w:val="nil"/>
              <w:left w:val="nil"/>
              <w:bottom w:val="single" w:sz="8" w:space="0" w:color="auto"/>
              <w:right w:val="single" w:sz="8" w:space="0" w:color="auto"/>
            </w:tcBorders>
            <w:shd w:val="clear" w:color="000000" w:fill="B3B3B3"/>
            <w:vAlign w:val="center"/>
            <w:hideMark/>
          </w:tcPr>
          <w:p w14:paraId="05E4B127" w14:textId="77777777" w:rsidR="00FD089A" w:rsidRPr="00FD089A" w:rsidRDefault="00FD089A" w:rsidP="00FD089A">
            <w:pPr>
              <w:jc w:val="center"/>
              <w:rPr>
                <w:rFonts w:cs="Arial"/>
                <w:b/>
                <w:bCs/>
                <w:color w:val="000000"/>
                <w:sz w:val="22"/>
                <w:szCs w:val="22"/>
                <w:lang w:eastAsia="en-GB"/>
              </w:rPr>
            </w:pPr>
            <w:r w:rsidRPr="00FD089A">
              <w:rPr>
                <w:rFonts w:cs="Arial"/>
                <w:b/>
                <w:bCs/>
                <w:color w:val="000000"/>
                <w:sz w:val="22"/>
                <w:szCs w:val="22"/>
                <w:lang w:eastAsia="en-GB"/>
              </w:rPr>
              <w:t>Original Estimate</w:t>
            </w:r>
          </w:p>
        </w:tc>
        <w:tc>
          <w:tcPr>
            <w:tcW w:w="2220" w:type="dxa"/>
            <w:tcBorders>
              <w:top w:val="nil"/>
              <w:left w:val="nil"/>
              <w:bottom w:val="single" w:sz="8" w:space="0" w:color="auto"/>
              <w:right w:val="single" w:sz="8" w:space="0" w:color="auto"/>
            </w:tcBorders>
            <w:shd w:val="clear" w:color="000000" w:fill="B3B3B3"/>
            <w:vAlign w:val="center"/>
            <w:hideMark/>
          </w:tcPr>
          <w:p w14:paraId="316CDC51" w14:textId="77777777" w:rsidR="00FD089A" w:rsidRPr="00FD089A" w:rsidRDefault="00FD089A" w:rsidP="00FD089A">
            <w:pPr>
              <w:jc w:val="center"/>
              <w:rPr>
                <w:rFonts w:cs="Arial"/>
                <w:b/>
                <w:bCs/>
                <w:color w:val="000000"/>
                <w:sz w:val="22"/>
                <w:szCs w:val="22"/>
                <w:lang w:eastAsia="en-GB"/>
              </w:rPr>
            </w:pPr>
            <w:r w:rsidRPr="00FD089A">
              <w:rPr>
                <w:rFonts w:cs="Arial"/>
                <w:b/>
                <w:bCs/>
                <w:color w:val="000000"/>
                <w:sz w:val="22"/>
                <w:szCs w:val="22"/>
                <w:lang w:eastAsia="en-GB"/>
              </w:rPr>
              <w:t>Revised Estimate</w:t>
            </w:r>
          </w:p>
        </w:tc>
      </w:tr>
      <w:tr w:rsidR="00FD089A" w:rsidRPr="00FD089A" w14:paraId="0EF5600C"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77D1BC10"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CFR – General Fund</w:t>
            </w:r>
          </w:p>
        </w:tc>
        <w:tc>
          <w:tcPr>
            <w:tcW w:w="2220" w:type="dxa"/>
            <w:tcBorders>
              <w:top w:val="nil"/>
              <w:left w:val="nil"/>
              <w:bottom w:val="single" w:sz="8" w:space="0" w:color="auto"/>
              <w:right w:val="single" w:sz="8" w:space="0" w:color="auto"/>
            </w:tcBorders>
            <w:shd w:val="clear" w:color="000000" w:fill="FFFFFF"/>
            <w:vAlign w:val="center"/>
            <w:hideMark/>
          </w:tcPr>
          <w:p w14:paraId="4428B8C2"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467,891</w:t>
            </w:r>
          </w:p>
        </w:tc>
        <w:tc>
          <w:tcPr>
            <w:tcW w:w="2220" w:type="dxa"/>
            <w:tcBorders>
              <w:top w:val="nil"/>
              <w:left w:val="nil"/>
              <w:bottom w:val="single" w:sz="8" w:space="0" w:color="auto"/>
              <w:right w:val="single" w:sz="8" w:space="0" w:color="auto"/>
            </w:tcBorders>
            <w:shd w:val="clear" w:color="000000" w:fill="FFFFFF"/>
            <w:vAlign w:val="center"/>
            <w:hideMark/>
          </w:tcPr>
          <w:p w14:paraId="6944C98F"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461,913</w:t>
            </w:r>
          </w:p>
        </w:tc>
      </w:tr>
      <w:tr w:rsidR="00FD089A" w:rsidRPr="00FD089A" w14:paraId="1E3B3B30"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767271D1"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CFR – HRA</w:t>
            </w:r>
          </w:p>
        </w:tc>
        <w:tc>
          <w:tcPr>
            <w:tcW w:w="2220" w:type="dxa"/>
            <w:tcBorders>
              <w:top w:val="nil"/>
              <w:left w:val="nil"/>
              <w:bottom w:val="single" w:sz="8" w:space="0" w:color="auto"/>
              <w:right w:val="single" w:sz="8" w:space="0" w:color="auto"/>
            </w:tcBorders>
            <w:shd w:val="clear" w:color="000000" w:fill="FFFFFF"/>
            <w:vAlign w:val="center"/>
            <w:hideMark/>
          </w:tcPr>
          <w:p w14:paraId="1F854761"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198,224</w:t>
            </w:r>
          </w:p>
        </w:tc>
        <w:tc>
          <w:tcPr>
            <w:tcW w:w="2220" w:type="dxa"/>
            <w:tcBorders>
              <w:top w:val="nil"/>
              <w:left w:val="nil"/>
              <w:bottom w:val="single" w:sz="8" w:space="0" w:color="auto"/>
              <w:right w:val="single" w:sz="8" w:space="0" w:color="auto"/>
            </w:tcBorders>
            <w:shd w:val="clear" w:color="000000" w:fill="FFFFFF"/>
            <w:vAlign w:val="center"/>
            <w:hideMark/>
          </w:tcPr>
          <w:p w14:paraId="57100FCE"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202,575</w:t>
            </w:r>
          </w:p>
        </w:tc>
      </w:tr>
      <w:tr w:rsidR="00FD089A" w:rsidRPr="00FD089A" w14:paraId="7D63B751"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615A62BF"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Total CFR</w:t>
            </w:r>
          </w:p>
        </w:tc>
        <w:tc>
          <w:tcPr>
            <w:tcW w:w="2220" w:type="dxa"/>
            <w:tcBorders>
              <w:top w:val="nil"/>
              <w:left w:val="nil"/>
              <w:bottom w:val="single" w:sz="8" w:space="0" w:color="auto"/>
              <w:right w:val="single" w:sz="8" w:space="0" w:color="auto"/>
            </w:tcBorders>
            <w:shd w:val="clear" w:color="auto" w:fill="auto"/>
            <w:vAlign w:val="center"/>
            <w:hideMark/>
          </w:tcPr>
          <w:p w14:paraId="638B3012"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666,115</w:t>
            </w:r>
          </w:p>
        </w:tc>
        <w:tc>
          <w:tcPr>
            <w:tcW w:w="2220" w:type="dxa"/>
            <w:tcBorders>
              <w:top w:val="nil"/>
              <w:left w:val="nil"/>
              <w:bottom w:val="single" w:sz="8" w:space="0" w:color="auto"/>
              <w:right w:val="single" w:sz="8" w:space="0" w:color="auto"/>
            </w:tcBorders>
            <w:shd w:val="clear" w:color="auto" w:fill="auto"/>
            <w:vAlign w:val="center"/>
            <w:hideMark/>
          </w:tcPr>
          <w:p w14:paraId="6DC017F3"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664,488</w:t>
            </w:r>
          </w:p>
        </w:tc>
      </w:tr>
      <w:tr w:rsidR="00FD089A" w:rsidRPr="00FD089A" w14:paraId="283FEE8B"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757C89F2"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Movement in CFR</w:t>
            </w:r>
          </w:p>
        </w:tc>
        <w:tc>
          <w:tcPr>
            <w:tcW w:w="2220" w:type="dxa"/>
            <w:tcBorders>
              <w:top w:val="nil"/>
              <w:left w:val="nil"/>
              <w:bottom w:val="single" w:sz="8" w:space="0" w:color="auto"/>
              <w:right w:val="single" w:sz="8" w:space="0" w:color="auto"/>
            </w:tcBorders>
            <w:shd w:val="clear" w:color="auto" w:fill="auto"/>
            <w:vAlign w:val="center"/>
            <w:hideMark/>
          </w:tcPr>
          <w:p w14:paraId="45C4FBEE"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71,721</w:t>
            </w:r>
          </w:p>
        </w:tc>
        <w:tc>
          <w:tcPr>
            <w:tcW w:w="2220" w:type="dxa"/>
            <w:tcBorders>
              <w:top w:val="nil"/>
              <w:left w:val="nil"/>
              <w:bottom w:val="single" w:sz="8" w:space="0" w:color="auto"/>
              <w:right w:val="single" w:sz="8" w:space="0" w:color="auto"/>
            </w:tcBorders>
            <w:shd w:val="clear" w:color="auto" w:fill="auto"/>
            <w:vAlign w:val="center"/>
            <w:hideMark/>
          </w:tcPr>
          <w:p w14:paraId="3101AC68"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91,621</w:t>
            </w:r>
          </w:p>
        </w:tc>
      </w:tr>
    </w:tbl>
    <w:p w14:paraId="2C15D7CC" w14:textId="382E459D" w:rsidR="00FD089A" w:rsidRDefault="00FD089A" w:rsidP="0058418A">
      <w:pPr>
        <w:jc w:val="both"/>
        <w:rPr>
          <w:rFonts w:cs="Arial"/>
          <w:bCs/>
          <w:szCs w:val="24"/>
          <w:highlight w:val="yellow"/>
        </w:rPr>
      </w:pPr>
    </w:p>
    <w:tbl>
      <w:tblPr>
        <w:tblW w:w="8920" w:type="dxa"/>
        <w:tblLook w:val="04A0" w:firstRow="1" w:lastRow="0" w:firstColumn="1" w:lastColumn="0" w:noHBand="0" w:noVBand="1"/>
      </w:tblPr>
      <w:tblGrid>
        <w:gridCol w:w="4480"/>
        <w:gridCol w:w="2220"/>
        <w:gridCol w:w="2220"/>
      </w:tblGrid>
      <w:tr w:rsidR="00FD089A" w:rsidRPr="00FD089A" w14:paraId="53C80B27" w14:textId="77777777" w:rsidTr="00FD089A">
        <w:trPr>
          <w:trHeight w:val="315"/>
        </w:trPr>
        <w:tc>
          <w:tcPr>
            <w:tcW w:w="89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610F65D"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Movement in CFR represented by</w:t>
            </w:r>
          </w:p>
        </w:tc>
      </w:tr>
      <w:tr w:rsidR="00FD089A" w:rsidRPr="00FD089A" w14:paraId="7BEE581A"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3C60A7F1"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Net financing need for the year (table 2)</w:t>
            </w:r>
          </w:p>
        </w:tc>
        <w:tc>
          <w:tcPr>
            <w:tcW w:w="2220" w:type="dxa"/>
            <w:tcBorders>
              <w:top w:val="nil"/>
              <w:left w:val="nil"/>
              <w:bottom w:val="single" w:sz="8" w:space="0" w:color="auto"/>
              <w:right w:val="single" w:sz="8" w:space="0" w:color="auto"/>
            </w:tcBorders>
            <w:shd w:val="clear" w:color="auto" w:fill="auto"/>
            <w:vAlign w:val="center"/>
            <w:hideMark/>
          </w:tcPr>
          <w:p w14:paraId="63179B0C"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97,274</w:t>
            </w:r>
          </w:p>
        </w:tc>
        <w:tc>
          <w:tcPr>
            <w:tcW w:w="2220" w:type="dxa"/>
            <w:tcBorders>
              <w:top w:val="nil"/>
              <w:left w:val="nil"/>
              <w:bottom w:val="single" w:sz="8" w:space="0" w:color="auto"/>
              <w:right w:val="single" w:sz="8" w:space="0" w:color="auto"/>
            </w:tcBorders>
            <w:shd w:val="clear" w:color="auto" w:fill="auto"/>
            <w:vAlign w:val="center"/>
            <w:hideMark/>
          </w:tcPr>
          <w:p w14:paraId="1BA3F4AD"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117,174</w:t>
            </w:r>
          </w:p>
        </w:tc>
      </w:tr>
      <w:tr w:rsidR="00FD089A" w:rsidRPr="00FD089A" w14:paraId="59A27FA8" w14:textId="77777777" w:rsidTr="00FD089A">
        <w:trPr>
          <w:trHeight w:val="58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01B6D3B0"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Less MRP/VRP and other financing movements</w:t>
            </w:r>
          </w:p>
        </w:tc>
        <w:tc>
          <w:tcPr>
            <w:tcW w:w="2220" w:type="dxa"/>
            <w:tcBorders>
              <w:top w:val="nil"/>
              <w:left w:val="nil"/>
              <w:bottom w:val="single" w:sz="8" w:space="0" w:color="auto"/>
              <w:right w:val="single" w:sz="8" w:space="0" w:color="auto"/>
            </w:tcBorders>
            <w:shd w:val="clear" w:color="000000" w:fill="FFFFFF"/>
            <w:vAlign w:val="center"/>
            <w:hideMark/>
          </w:tcPr>
          <w:p w14:paraId="5DE3AC53"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-25,553</w:t>
            </w:r>
          </w:p>
        </w:tc>
        <w:tc>
          <w:tcPr>
            <w:tcW w:w="2220" w:type="dxa"/>
            <w:tcBorders>
              <w:top w:val="nil"/>
              <w:left w:val="nil"/>
              <w:bottom w:val="single" w:sz="8" w:space="0" w:color="auto"/>
              <w:right w:val="single" w:sz="8" w:space="0" w:color="auto"/>
            </w:tcBorders>
            <w:shd w:val="clear" w:color="000000" w:fill="FFFFFF"/>
            <w:vAlign w:val="center"/>
            <w:hideMark/>
          </w:tcPr>
          <w:p w14:paraId="0256DE80" w14:textId="77777777"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-25,553</w:t>
            </w:r>
          </w:p>
        </w:tc>
      </w:tr>
      <w:tr w:rsidR="00FD089A" w:rsidRPr="00FD089A" w14:paraId="7DAE8245"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4A0841D9"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Movement in CFR</w:t>
            </w:r>
          </w:p>
        </w:tc>
        <w:tc>
          <w:tcPr>
            <w:tcW w:w="2220" w:type="dxa"/>
            <w:tcBorders>
              <w:top w:val="nil"/>
              <w:left w:val="nil"/>
              <w:bottom w:val="single" w:sz="8" w:space="0" w:color="auto"/>
              <w:right w:val="single" w:sz="8" w:space="0" w:color="auto"/>
            </w:tcBorders>
            <w:shd w:val="clear" w:color="auto" w:fill="auto"/>
            <w:vAlign w:val="center"/>
            <w:hideMark/>
          </w:tcPr>
          <w:p w14:paraId="39D30F4E"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71,721</w:t>
            </w:r>
          </w:p>
        </w:tc>
        <w:tc>
          <w:tcPr>
            <w:tcW w:w="2220" w:type="dxa"/>
            <w:tcBorders>
              <w:top w:val="nil"/>
              <w:left w:val="nil"/>
              <w:bottom w:val="single" w:sz="8" w:space="0" w:color="auto"/>
              <w:right w:val="single" w:sz="8" w:space="0" w:color="auto"/>
            </w:tcBorders>
            <w:shd w:val="clear" w:color="auto" w:fill="auto"/>
            <w:vAlign w:val="center"/>
            <w:hideMark/>
          </w:tcPr>
          <w:p w14:paraId="70FEE545" w14:textId="77777777"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91,621</w:t>
            </w:r>
          </w:p>
        </w:tc>
      </w:tr>
    </w:tbl>
    <w:p w14:paraId="512C4AAA" w14:textId="77777777" w:rsidR="0058418A" w:rsidRDefault="0058418A" w:rsidP="008F2670">
      <w:pPr>
        <w:rPr>
          <w:rFonts w:cs="Arial"/>
          <w:bCs/>
          <w:szCs w:val="24"/>
          <w:lang w:eastAsia="en-GB"/>
        </w:rPr>
      </w:pPr>
    </w:p>
    <w:p w14:paraId="607C1310" w14:textId="0AD7ACB3" w:rsidR="00C870B1" w:rsidRDefault="00C870B1" w:rsidP="00C870B1">
      <w:pPr>
        <w:pStyle w:val="Heading4"/>
        <w:tabs>
          <w:tab w:val="left" w:pos="3600"/>
        </w:tabs>
        <w:rPr>
          <w:color w:val="0000FF"/>
          <w:szCs w:val="24"/>
        </w:rPr>
      </w:pPr>
      <w:r>
        <w:rPr>
          <w:color w:val="0000FF"/>
          <w:szCs w:val="24"/>
        </w:rPr>
        <w:t>Authorised Limit and Operational Boundary</w:t>
      </w:r>
    </w:p>
    <w:p w14:paraId="0F091610" w14:textId="6AA01EC7" w:rsidR="00E93B3B" w:rsidRDefault="00E93B3B" w:rsidP="00E93B3B"/>
    <w:p w14:paraId="0D8046A6" w14:textId="10EBA512" w:rsidR="00E93B3B" w:rsidRPr="006D498A" w:rsidRDefault="00E93B3B" w:rsidP="00337D90">
      <w:pPr>
        <w:pStyle w:val="ListParagraph"/>
        <w:numPr>
          <w:ilvl w:val="0"/>
          <w:numId w:val="27"/>
        </w:numPr>
        <w:ind w:left="0" w:hanging="567"/>
        <w:jc w:val="both"/>
        <w:rPr>
          <w:color w:val="0D0D0D" w:themeColor="text1" w:themeTint="F2"/>
        </w:rPr>
      </w:pPr>
      <w:r w:rsidRPr="00120571">
        <w:rPr>
          <w:color w:val="0D0D0D" w:themeColor="text1" w:themeTint="F2"/>
        </w:rPr>
        <w:t xml:space="preserve">No changes have been proposed to the Council’s Operational Boundary and Authorised Limit which were approved as part of the </w:t>
      </w:r>
      <w:r w:rsidRPr="006D498A">
        <w:rPr>
          <w:color w:val="0D0D0D" w:themeColor="text1" w:themeTint="F2"/>
        </w:rPr>
        <w:t>2021/22 TMSS</w:t>
      </w:r>
      <w:r w:rsidR="004D0C2A" w:rsidRPr="006D498A">
        <w:rPr>
          <w:color w:val="0D0D0D" w:themeColor="text1" w:themeTint="F2"/>
        </w:rPr>
        <w:t xml:space="preserve"> </w:t>
      </w:r>
      <w:r w:rsidR="006D498A" w:rsidRPr="006D498A">
        <w:rPr>
          <w:color w:val="0D0D0D" w:themeColor="text1" w:themeTint="F2"/>
        </w:rPr>
        <w:t>on 25 February 2021</w:t>
      </w:r>
      <w:r w:rsidRPr="006D498A">
        <w:rPr>
          <w:color w:val="0D0D0D" w:themeColor="text1" w:themeTint="F2"/>
        </w:rPr>
        <w:t>.</w:t>
      </w:r>
    </w:p>
    <w:p w14:paraId="147AF6A6" w14:textId="77777777" w:rsidR="00E93B3B" w:rsidRPr="00120571" w:rsidRDefault="00E93B3B" w:rsidP="00120571">
      <w:pPr>
        <w:pStyle w:val="ListParagraph"/>
        <w:ind w:left="426"/>
        <w:jc w:val="both"/>
        <w:rPr>
          <w:color w:val="0D0D0D" w:themeColor="text1" w:themeTint="F2"/>
        </w:rPr>
      </w:pPr>
    </w:p>
    <w:p w14:paraId="517BA55B" w14:textId="0F83759E" w:rsidR="00E93B3B" w:rsidRPr="00120571" w:rsidRDefault="00E93B3B" w:rsidP="00120571">
      <w:pPr>
        <w:jc w:val="both"/>
        <w:rPr>
          <w:color w:val="0D0D0D" w:themeColor="text1" w:themeTint="F2"/>
          <w:u w:val="single"/>
        </w:rPr>
      </w:pPr>
      <w:r w:rsidRPr="00120571">
        <w:rPr>
          <w:color w:val="0D0D0D" w:themeColor="text1" w:themeTint="F2"/>
          <w:u w:val="single"/>
        </w:rPr>
        <w:t>Operational Boundary</w:t>
      </w:r>
    </w:p>
    <w:p w14:paraId="46485AB8" w14:textId="097FEFC9" w:rsidR="00E93B3B" w:rsidRPr="00120571" w:rsidRDefault="00E93B3B" w:rsidP="00337D90">
      <w:pPr>
        <w:pStyle w:val="ListParagraph"/>
        <w:numPr>
          <w:ilvl w:val="0"/>
          <w:numId w:val="27"/>
        </w:numPr>
        <w:ind w:left="0" w:hanging="567"/>
        <w:jc w:val="both"/>
        <w:rPr>
          <w:color w:val="0D0D0D" w:themeColor="text1" w:themeTint="F2"/>
        </w:rPr>
      </w:pPr>
      <w:r w:rsidRPr="00120571">
        <w:rPr>
          <w:color w:val="0D0D0D" w:themeColor="text1" w:themeTint="F2"/>
        </w:rPr>
        <w:t xml:space="preserve">This limit is based on the Council’s programme for capital expenditure, </w:t>
      </w:r>
      <w:r w:rsidR="00BC137F" w:rsidRPr="00120571">
        <w:rPr>
          <w:color w:val="0D0D0D" w:themeColor="text1" w:themeTint="F2"/>
        </w:rPr>
        <w:t>C</w:t>
      </w:r>
      <w:r w:rsidRPr="00120571">
        <w:rPr>
          <w:color w:val="0D0D0D" w:themeColor="text1" w:themeTint="F2"/>
        </w:rPr>
        <w:t xml:space="preserve">apital </w:t>
      </w:r>
      <w:r w:rsidR="00BC137F" w:rsidRPr="00120571">
        <w:rPr>
          <w:color w:val="0D0D0D" w:themeColor="text1" w:themeTint="F2"/>
        </w:rPr>
        <w:t>F</w:t>
      </w:r>
      <w:r w:rsidRPr="00120571">
        <w:rPr>
          <w:color w:val="0D0D0D" w:themeColor="text1" w:themeTint="F2"/>
        </w:rPr>
        <w:t xml:space="preserve">inancing </w:t>
      </w:r>
      <w:r w:rsidR="00BC137F" w:rsidRPr="00120571">
        <w:rPr>
          <w:color w:val="0D0D0D" w:themeColor="text1" w:themeTint="F2"/>
        </w:rPr>
        <w:t>R</w:t>
      </w:r>
      <w:r w:rsidRPr="00120571">
        <w:rPr>
          <w:color w:val="0D0D0D" w:themeColor="text1" w:themeTint="F2"/>
        </w:rPr>
        <w:t xml:space="preserve">equirement and cash flow </w:t>
      </w:r>
      <w:r w:rsidR="00BC137F" w:rsidRPr="00120571">
        <w:rPr>
          <w:color w:val="0D0D0D" w:themeColor="text1" w:themeTint="F2"/>
        </w:rPr>
        <w:t>needs</w:t>
      </w:r>
      <w:r w:rsidRPr="00120571">
        <w:rPr>
          <w:color w:val="0D0D0D" w:themeColor="text1" w:themeTint="F2"/>
        </w:rPr>
        <w:t xml:space="preserve"> for the year.</w:t>
      </w:r>
      <w:r w:rsidR="00B41533" w:rsidRPr="00120571">
        <w:rPr>
          <w:color w:val="0D0D0D" w:themeColor="text1" w:themeTint="F2"/>
        </w:rPr>
        <w:t xml:space="preserve">  It is the limit beyond which external debt is not normally expected to exceed.   </w:t>
      </w:r>
      <w:r w:rsidRPr="00120571">
        <w:rPr>
          <w:color w:val="0D0D0D" w:themeColor="text1" w:themeTint="F2"/>
        </w:rPr>
        <w:t xml:space="preserve"> </w:t>
      </w:r>
    </w:p>
    <w:p w14:paraId="77FF2E3E" w14:textId="5237D205" w:rsidR="00E93B3B" w:rsidRDefault="00E93B3B" w:rsidP="00E93B3B">
      <w:pPr>
        <w:pStyle w:val="Revision"/>
        <w:jc w:val="both"/>
      </w:pPr>
    </w:p>
    <w:p w14:paraId="4280E5E7" w14:textId="1C99F5F5" w:rsidR="00E93B3B" w:rsidRDefault="00E93B3B" w:rsidP="00E93B3B">
      <w:pPr>
        <w:pStyle w:val="Revision"/>
        <w:jc w:val="both"/>
      </w:pPr>
      <w:bookmarkStart w:id="0" w:name="_Hlk89257307"/>
      <w:r w:rsidRPr="00136B10">
        <w:t>Table 4</w:t>
      </w:r>
    </w:p>
    <w:tbl>
      <w:tblPr>
        <w:tblW w:w="6840" w:type="dxa"/>
        <w:tblLook w:val="04A0" w:firstRow="1" w:lastRow="0" w:firstColumn="1" w:lastColumn="0" w:noHBand="0" w:noVBand="1"/>
      </w:tblPr>
      <w:tblGrid>
        <w:gridCol w:w="4540"/>
        <w:gridCol w:w="2300"/>
      </w:tblGrid>
      <w:tr w:rsidR="00E93B3B" w:rsidRPr="00E93B3B" w14:paraId="40BEFCE0" w14:textId="77777777" w:rsidTr="00E93B3B">
        <w:trPr>
          <w:trHeight w:val="300"/>
        </w:trPr>
        <w:tc>
          <w:tcPr>
            <w:tcW w:w="4540"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13D633FC" w14:textId="77777777" w:rsidR="00E93B3B" w:rsidRPr="00E93B3B" w:rsidRDefault="00E93B3B" w:rsidP="00E93B3B">
            <w:pPr>
              <w:rPr>
                <w:rFonts w:cs="Arial"/>
                <w:b/>
                <w:bCs/>
                <w:color w:val="000000"/>
                <w:sz w:val="22"/>
                <w:szCs w:val="22"/>
                <w:lang w:eastAsia="en-GB"/>
              </w:rPr>
            </w:pPr>
            <w:r w:rsidRPr="00E93B3B">
              <w:rPr>
                <w:rFonts w:cs="Arial"/>
                <w:b/>
                <w:bCs/>
                <w:color w:val="000000"/>
                <w:sz w:val="22"/>
                <w:szCs w:val="22"/>
                <w:lang w:eastAsia="en-GB"/>
              </w:rPr>
              <w:t>Operational boundary £'000</w:t>
            </w:r>
          </w:p>
        </w:tc>
        <w:tc>
          <w:tcPr>
            <w:tcW w:w="2300" w:type="dxa"/>
            <w:tcBorders>
              <w:top w:val="single" w:sz="8" w:space="0" w:color="auto"/>
              <w:left w:val="nil"/>
              <w:bottom w:val="nil"/>
              <w:right w:val="single" w:sz="8" w:space="0" w:color="auto"/>
            </w:tcBorders>
            <w:shd w:val="clear" w:color="000000" w:fill="B3B3B3"/>
            <w:vAlign w:val="center"/>
            <w:hideMark/>
          </w:tcPr>
          <w:p w14:paraId="1B951122" w14:textId="77777777" w:rsidR="00E93B3B" w:rsidRPr="00E93B3B" w:rsidRDefault="00E93B3B" w:rsidP="00E93B3B">
            <w:pPr>
              <w:jc w:val="center"/>
              <w:rPr>
                <w:rFonts w:cs="Arial"/>
                <w:b/>
                <w:bCs/>
                <w:color w:val="000000"/>
                <w:sz w:val="22"/>
                <w:szCs w:val="22"/>
                <w:lang w:eastAsia="en-GB"/>
              </w:rPr>
            </w:pPr>
            <w:r w:rsidRPr="00E93B3B">
              <w:rPr>
                <w:rFonts w:cs="Arial"/>
                <w:b/>
                <w:bCs/>
                <w:color w:val="000000"/>
                <w:sz w:val="22"/>
                <w:szCs w:val="22"/>
                <w:lang w:eastAsia="en-GB"/>
              </w:rPr>
              <w:t>2021/22</w:t>
            </w:r>
          </w:p>
        </w:tc>
      </w:tr>
      <w:tr w:rsidR="00E93B3B" w:rsidRPr="00E93B3B" w14:paraId="0522A2C5" w14:textId="77777777" w:rsidTr="00E93B3B">
        <w:trPr>
          <w:trHeight w:val="315"/>
        </w:trPr>
        <w:tc>
          <w:tcPr>
            <w:tcW w:w="4540" w:type="dxa"/>
            <w:vMerge/>
            <w:tcBorders>
              <w:top w:val="single" w:sz="8" w:space="0" w:color="auto"/>
              <w:left w:val="single" w:sz="8" w:space="0" w:color="auto"/>
              <w:bottom w:val="single" w:sz="8" w:space="0" w:color="000000"/>
              <w:right w:val="single" w:sz="8" w:space="0" w:color="auto"/>
            </w:tcBorders>
            <w:vAlign w:val="center"/>
            <w:hideMark/>
          </w:tcPr>
          <w:p w14:paraId="79F7E7B3" w14:textId="77777777" w:rsidR="00E93B3B" w:rsidRPr="00E93B3B" w:rsidRDefault="00E93B3B" w:rsidP="00E93B3B">
            <w:pPr>
              <w:rPr>
                <w:rFonts w:cs="Arial"/>
                <w:b/>
                <w:bCs/>
                <w:color w:val="000000"/>
                <w:sz w:val="22"/>
                <w:szCs w:val="22"/>
                <w:lang w:eastAsia="en-GB"/>
              </w:rPr>
            </w:pPr>
          </w:p>
        </w:tc>
        <w:tc>
          <w:tcPr>
            <w:tcW w:w="2300" w:type="dxa"/>
            <w:tcBorders>
              <w:top w:val="nil"/>
              <w:left w:val="nil"/>
              <w:bottom w:val="single" w:sz="8" w:space="0" w:color="auto"/>
              <w:right w:val="single" w:sz="8" w:space="0" w:color="auto"/>
            </w:tcBorders>
            <w:shd w:val="clear" w:color="000000" w:fill="B3B3B3"/>
            <w:vAlign w:val="center"/>
            <w:hideMark/>
          </w:tcPr>
          <w:p w14:paraId="3680C56C" w14:textId="77777777" w:rsidR="00E93B3B" w:rsidRPr="00E93B3B" w:rsidRDefault="00E93B3B" w:rsidP="00E93B3B">
            <w:pPr>
              <w:jc w:val="center"/>
              <w:rPr>
                <w:rFonts w:cs="Arial"/>
                <w:b/>
                <w:bCs/>
                <w:color w:val="000000"/>
                <w:sz w:val="22"/>
                <w:szCs w:val="22"/>
                <w:lang w:eastAsia="en-GB"/>
              </w:rPr>
            </w:pPr>
            <w:r w:rsidRPr="00E93B3B">
              <w:rPr>
                <w:rFonts w:cs="Arial"/>
                <w:b/>
                <w:bCs/>
                <w:color w:val="000000"/>
                <w:sz w:val="22"/>
                <w:szCs w:val="22"/>
                <w:lang w:eastAsia="en-GB"/>
              </w:rPr>
              <w:t> </w:t>
            </w:r>
          </w:p>
        </w:tc>
      </w:tr>
      <w:tr w:rsidR="00E93B3B" w:rsidRPr="00E93B3B" w14:paraId="58766D7E" w14:textId="77777777" w:rsidTr="00E93B3B">
        <w:trPr>
          <w:trHeight w:val="315"/>
        </w:trPr>
        <w:tc>
          <w:tcPr>
            <w:tcW w:w="4540" w:type="dxa"/>
            <w:tcBorders>
              <w:top w:val="nil"/>
              <w:left w:val="single" w:sz="8" w:space="0" w:color="auto"/>
              <w:bottom w:val="single" w:sz="8" w:space="0" w:color="auto"/>
              <w:right w:val="single" w:sz="8" w:space="0" w:color="auto"/>
            </w:tcBorders>
            <w:shd w:val="clear" w:color="auto" w:fill="auto"/>
            <w:vAlign w:val="center"/>
            <w:hideMark/>
          </w:tcPr>
          <w:p w14:paraId="1CCB0D93" w14:textId="77777777" w:rsidR="00E93B3B" w:rsidRPr="00E93B3B" w:rsidRDefault="00E93B3B" w:rsidP="00E93B3B">
            <w:pPr>
              <w:jc w:val="both"/>
              <w:rPr>
                <w:rFonts w:cs="Arial"/>
                <w:color w:val="000000"/>
                <w:sz w:val="22"/>
                <w:szCs w:val="22"/>
                <w:lang w:eastAsia="en-GB"/>
              </w:rPr>
            </w:pPr>
            <w:r w:rsidRPr="00E93B3B">
              <w:rPr>
                <w:rFonts w:cs="Arial"/>
                <w:color w:val="000000"/>
                <w:sz w:val="22"/>
                <w:szCs w:val="22"/>
                <w:lang w:eastAsia="en-GB"/>
              </w:rPr>
              <w:t>Borrowing</w:t>
            </w:r>
          </w:p>
        </w:tc>
        <w:tc>
          <w:tcPr>
            <w:tcW w:w="2300" w:type="dxa"/>
            <w:tcBorders>
              <w:top w:val="nil"/>
              <w:left w:val="nil"/>
              <w:bottom w:val="single" w:sz="8" w:space="0" w:color="auto"/>
              <w:right w:val="single" w:sz="8" w:space="0" w:color="auto"/>
            </w:tcBorders>
            <w:shd w:val="clear" w:color="000000" w:fill="FFFFFF"/>
            <w:vAlign w:val="center"/>
            <w:hideMark/>
          </w:tcPr>
          <w:p w14:paraId="34D4881C" w14:textId="77777777" w:rsidR="00E93B3B" w:rsidRPr="00E93B3B" w:rsidRDefault="00E93B3B" w:rsidP="00E93B3B">
            <w:pPr>
              <w:jc w:val="right"/>
              <w:rPr>
                <w:rFonts w:cs="Arial"/>
                <w:color w:val="000000"/>
                <w:sz w:val="22"/>
                <w:szCs w:val="22"/>
                <w:lang w:eastAsia="en-GB"/>
              </w:rPr>
            </w:pPr>
            <w:r w:rsidRPr="00E93B3B">
              <w:rPr>
                <w:rFonts w:cs="Arial"/>
                <w:color w:val="000000"/>
                <w:sz w:val="22"/>
                <w:szCs w:val="22"/>
                <w:lang w:eastAsia="en-GB"/>
              </w:rPr>
              <w:t>666,115</w:t>
            </w:r>
          </w:p>
        </w:tc>
      </w:tr>
      <w:tr w:rsidR="00E93B3B" w:rsidRPr="00E93B3B" w14:paraId="3EA99605" w14:textId="77777777" w:rsidTr="00E93B3B">
        <w:trPr>
          <w:trHeight w:val="315"/>
        </w:trPr>
        <w:tc>
          <w:tcPr>
            <w:tcW w:w="4540" w:type="dxa"/>
            <w:tcBorders>
              <w:top w:val="nil"/>
              <w:left w:val="single" w:sz="8" w:space="0" w:color="auto"/>
              <w:bottom w:val="single" w:sz="8" w:space="0" w:color="auto"/>
              <w:right w:val="single" w:sz="8" w:space="0" w:color="auto"/>
            </w:tcBorders>
            <w:shd w:val="clear" w:color="auto" w:fill="auto"/>
            <w:vAlign w:val="center"/>
            <w:hideMark/>
          </w:tcPr>
          <w:p w14:paraId="52535403" w14:textId="77777777" w:rsidR="00E93B3B" w:rsidRPr="00E93B3B" w:rsidRDefault="00E93B3B" w:rsidP="00E93B3B">
            <w:pPr>
              <w:jc w:val="both"/>
              <w:rPr>
                <w:rFonts w:cs="Arial"/>
                <w:color w:val="000000"/>
                <w:sz w:val="22"/>
                <w:szCs w:val="22"/>
                <w:lang w:eastAsia="en-GB"/>
              </w:rPr>
            </w:pPr>
            <w:r w:rsidRPr="00E93B3B">
              <w:rPr>
                <w:rFonts w:cs="Arial"/>
                <w:color w:val="000000"/>
                <w:sz w:val="22"/>
                <w:szCs w:val="22"/>
                <w:lang w:eastAsia="en-GB"/>
              </w:rPr>
              <w:t>Other long term liabilities</w:t>
            </w:r>
          </w:p>
        </w:tc>
        <w:tc>
          <w:tcPr>
            <w:tcW w:w="2300" w:type="dxa"/>
            <w:tcBorders>
              <w:top w:val="nil"/>
              <w:left w:val="nil"/>
              <w:bottom w:val="single" w:sz="8" w:space="0" w:color="auto"/>
              <w:right w:val="single" w:sz="8" w:space="0" w:color="auto"/>
            </w:tcBorders>
            <w:shd w:val="clear" w:color="000000" w:fill="FFFFFF"/>
            <w:vAlign w:val="center"/>
            <w:hideMark/>
          </w:tcPr>
          <w:p w14:paraId="61CADDBD" w14:textId="77777777" w:rsidR="00E93B3B" w:rsidRPr="00E93B3B" w:rsidRDefault="00E93B3B" w:rsidP="00E93B3B">
            <w:pPr>
              <w:jc w:val="right"/>
              <w:rPr>
                <w:rFonts w:cs="Arial"/>
                <w:color w:val="000000"/>
                <w:sz w:val="22"/>
                <w:szCs w:val="22"/>
                <w:lang w:eastAsia="en-GB"/>
              </w:rPr>
            </w:pPr>
            <w:r w:rsidRPr="00E93B3B">
              <w:rPr>
                <w:rFonts w:cs="Arial"/>
                <w:color w:val="000000"/>
                <w:sz w:val="22"/>
                <w:szCs w:val="22"/>
                <w:lang w:eastAsia="en-GB"/>
              </w:rPr>
              <w:t>17,370</w:t>
            </w:r>
          </w:p>
        </w:tc>
      </w:tr>
      <w:tr w:rsidR="00E93B3B" w:rsidRPr="00E93B3B" w14:paraId="63287F19" w14:textId="77777777" w:rsidTr="00E93B3B">
        <w:trPr>
          <w:trHeight w:val="315"/>
        </w:trPr>
        <w:tc>
          <w:tcPr>
            <w:tcW w:w="4540" w:type="dxa"/>
            <w:tcBorders>
              <w:top w:val="nil"/>
              <w:left w:val="single" w:sz="8" w:space="0" w:color="auto"/>
              <w:bottom w:val="single" w:sz="8" w:space="0" w:color="auto"/>
              <w:right w:val="single" w:sz="8" w:space="0" w:color="auto"/>
            </w:tcBorders>
            <w:shd w:val="clear" w:color="auto" w:fill="auto"/>
            <w:vAlign w:val="center"/>
            <w:hideMark/>
          </w:tcPr>
          <w:p w14:paraId="0AED090C" w14:textId="77777777" w:rsidR="00E93B3B" w:rsidRPr="00E93B3B" w:rsidRDefault="00E93B3B" w:rsidP="00E93B3B">
            <w:pPr>
              <w:jc w:val="both"/>
              <w:rPr>
                <w:rFonts w:cs="Arial"/>
                <w:b/>
                <w:bCs/>
                <w:color w:val="000000"/>
                <w:sz w:val="22"/>
                <w:szCs w:val="22"/>
                <w:lang w:eastAsia="en-GB"/>
              </w:rPr>
            </w:pPr>
            <w:r w:rsidRPr="00E93B3B">
              <w:rPr>
                <w:rFonts w:cs="Arial"/>
                <w:b/>
                <w:bCs/>
                <w:color w:val="000000"/>
                <w:sz w:val="22"/>
                <w:szCs w:val="22"/>
                <w:lang w:eastAsia="en-GB"/>
              </w:rPr>
              <w:t>Total</w:t>
            </w:r>
          </w:p>
        </w:tc>
        <w:tc>
          <w:tcPr>
            <w:tcW w:w="2300" w:type="dxa"/>
            <w:tcBorders>
              <w:top w:val="nil"/>
              <w:left w:val="nil"/>
              <w:bottom w:val="single" w:sz="8" w:space="0" w:color="auto"/>
              <w:right w:val="single" w:sz="8" w:space="0" w:color="auto"/>
            </w:tcBorders>
            <w:shd w:val="clear" w:color="auto" w:fill="auto"/>
            <w:vAlign w:val="center"/>
            <w:hideMark/>
          </w:tcPr>
          <w:p w14:paraId="4280D2EC" w14:textId="77777777" w:rsidR="00E93B3B" w:rsidRPr="00E93B3B" w:rsidRDefault="00E93B3B" w:rsidP="00E93B3B">
            <w:pPr>
              <w:jc w:val="right"/>
              <w:rPr>
                <w:rFonts w:cs="Arial"/>
                <w:b/>
                <w:bCs/>
                <w:color w:val="000000"/>
                <w:sz w:val="22"/>
                <w:szCs w:val="22"/>
                <w:lang w:eastAsia="en-GB"/>
              </w:rPr>
            </w:pPr>
            <w:r w:rsidRPr="00E93B3B">
              <w:rPr>
                <w:rFonts w:cs="Arial"/>
                <w:b/>
                <w:bCs/>
                <w:color w:val="000000"/>
                <w:sz w:val="22"/>
                <w:szCs w:val="22"/>
                <w:lang w:eastAsia="en-GB"/>
              </w:rPr>
              <w:t>683,485</w:t>
            </w:r>
          </w:p>
        </w:tc>
      </w:tr>
      <w:bookmarkEnd w:id="0"/>
    </w:tbl>
    <w:p w14:paraId="60CD1DB5" w14:textId="77777777" w:rsidR="00E93B3B" w:rsidRPr="006D51C8" w:rsidRDefault="00E93B3B" w:rsidP="00E93B3B">
      <w:pPr>
        <w:pStyle w:val="Revision"/>
        <w:ind w:left="709" w:hanging="709"/>
        <w:jc w:val="both"/>
      </w:pPr>
    </w:p>
    <w:p w14:paraId="584BBB01" w14:textId="77777777" w:rsidR="00E93B3B" w:rsidRPr="00E93B3B" w:rsidRDefault="00E93B3B" w:rsidP="00E93B3B">
      <w:pPr>
        <w:pStyle w:val="Revision"/>
        <w:jc w:val="both"/>
        <w:rPr>
          <w:u w:val="single"/>
        </w:rPr>
      </w:pPr>
      <w:r w:rsidRPr="00E93B3B">
        <w:rPr>
          <w:u w:val="single"/>
        </w:rPr>
        <w:t>Authorised Limit</w:t>
      </w:r>
    </w:p>
    <w:p w14:paraId="7C65197C" w14:textId="55E585D5" w:rsidR="00B41533" w:rsidRPr="009D65F5" w:rsidRDefault="00B41533" w:rsidP="00337D90">
      <w:pPr>
        <w:pStyle w:val="ListParagraph"/>
        <w:numPr>
          <w:ilvl w:val="0"/>
          <w:numId w:val="27"/>
        </w:numPr>
        <w:ind w:left="0" w:hanging="567"/>
        <w:jc w:val="both"/>
        <w:rPr>
          <w:color w:val="0D0D0D" w:themeColor="text1" w:themeTint="F2"/>
        </w:rPr>
      </w:pPr>
      <w:r w:rsidRPr="009D65F5">
        <w:rPr>
          <w:color w:val="0D0D0D" w:themeColor="text1" w:themeTint="F2"/>
        </w:rPr>
        <w:t xml:space="preserve">This is a key prudential indicator and represents a control on the maximum level of borrowing. This represents a legal limit beyond which external debt is prohibited, and this limit needs to be set or revised by full Council.  </w:t>
      </w:r>
    </w:p>
    <w:p w14:paraId="3A6629F9" w14:textId="77777777" w:rsidR="00B41533" w:rsidRDefault="00B41533" w:rsidP="00B41533">
      <w:pPr>
        <w:jc w:val="both"/>
        <w:rPr>
          <w:rFonts w:cs="Arial"/>
          <w:szCs w:val="24"/>
          <w:lang w:eastAsia="en-GB"/>
        </w:rPr>
      </w:pPr>
    </w:p>
    <w:p w14:paraId="311B552F" w14:textId="11748BA5" w:rsidR="00B41533" w:rsidRPr="009D65F5" w:rsidRDefault="00B41533" w:rsidP="00337D90">
      <w:pPr>
        <w:pStyle w:val="ListParagraph"/>
        <w:numPr>
          <w:ilvl w:val="0"/>
          <w:numId w:val="27"/>
        </w:numPr>
        <w:ind w:left="0" w:hanging="567"/>
        <w:jc w:val="both"/>
        <w:rPr>
          <w:color w:val="0D0D0D" w:themeColor="text1" w:themeTint="F2"/>
        </w:rPr>
      </w:pPr>
      <w:r w:rsidRPr="009D65F5">
        <w:rPr>
          <w:color w:val="0D0D0D" w:themeColor="text1" w:themeTint="F2"/>
        </w:rPr>
        <w:t>It is the statutory limit determined under section 3(1) of the Local Government Act 2003</w:t>
      </w:r>
      <w:r w:rsidR="00BC137F" w:rsidRPr="009D65F5">
        <w:rPr>
          <w:color w:val="0D0D0D" w:themeColor="text1" w:themeTint="F2"/>
        </w:rPr>
        <w:t>.</w:t>
      </w:r>
      <w:r w:rsidRPr="009D65F5">
        <w:rPr>
          <w:color w:val="0D0D0D" w:themeColor="text1" w:themeTint="F2"/>
        </w:rPr>
        <w:t xml:space="preserve">  Under the Act, the Government retains an option to control either the total of all councils’ plans, or those of a specific council, although this power has not yet been exercised.</w:t>
      </w:r>
    </w:p>
    <w:p w14:paraId="1BC9B6A0" w14:textId="15A146BC" w:rsidR="00E93B3B" w:rsidRDefault="00E93B3B" w:rsidP="00E93B3B"/>
    <w:p w14:paraId="67236779" w14:textId="54456A3E" w:rsidR="00A733A7" w:rsidRDefault="00A733A7" w:rsidP="00E93B3B"/>
    <w:p w14:paraId="0609ABD6" w14:textId="3C11E604" w:rsidR="00A733A7" w:rsidRDefault="00A733A7" w:rsidP="00E93B3B"/>
    <w:p w14:paraId="15B206EA" w14:textId="69C00237" w:rsidR="00A733A7" w:rsidRDefault="00A733A7" w:rsidP="00E93B3B"/>
    <w:p w14:paraId="0621F590" w14:textId="5FD65945" w:rsidR="00A733A7" w:rsidRDefault="00A733A7" w:rsidP="00E93B3B"/>
    <w:p w14:paraId="3D2BA29A" w14:textId="4E09D56C" w:rsidR="00A733A7" w:rsidRDefault="00A733A7" w:rsidP="00E93B3B"/>
    <w:p w14:paraId="6A4D6427" w14:textId="77777777" w:rsidR="00A733A7" w:rsidRDefault="00A733A7" w:rsidP="00E93B3B"/>
    <w:p w14:paraId="3E7C7DBB" w14:textId="2C4886E2" w:rsidR="00E93B3B" w:rsidRPr="00E93B3B" w:rsidRDefault="00E93B3B" w:rsidP="00E93B3B">
      <w:bookmarkStart w:id="1" w:name="_Hlk89257324"/>
      <w:r w:rsidRPr="00136B10">
        <w:lastRenderedPageBreak/>
        <w:t>Table 5</w:t>
      </w:r>
    </w:p>
    <w:tbl>
      <w:tblPr>
        <w:tblW w:w="6840" w:type="dxa"/>
        <w:tblLook w:val="04A0" w:firstRow="1" w:lastRow="0" w:firstColumn="1" w:lastColumn="0" w:noHBand="0" w:noVBand="1"/>
      </w:tblPr>
      <w:tblGrid>
        <w:gridCol w:w="4540"/>
        <w:gridCol w:w="2300"/>
      </w:tblGrid>
      <w:tr w:rsidR="00E93B3B" w:rsidRPr="00E93B3B" w14:paraId="56E38883" w14:textId="77777777" w:rsidTr="00E93B3B">
        <w:trPr>
          <w:trHeight w:val="300"/>
        </w:trPr>
        <w:tc>
          <w:tcPr>
            <w:tcW w:w="4540"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29F10598" w14:textId="77777777" w:rsidR="00E93B3B" w:rsidRPr="00E93B3B" w:rsidRDefault="00E93B3B" w:rsidP="00E93B3B">
            <w:pPr>
              <w:rPr>
                <w:rFonts w:cs="Arial"/>
                <w:b/>
                <w:bCs/>
                <w:color w:val="000000"/>
                <w:sz w:val="22"/>
                <w:szCs w:val="22"/>
                <w:lang w:eastAsia="en-GB"/>
              </w:rPr>
            </w:pPr>
            <w:r w:rsidRPr="00E93B3B">
              <w:rPr>
                <w:rFonts w:cs="Arial"/>
                <w:b/>
                <w:bCs/>
                <w:color w:val="000000"/>
                <w:sz w:val="22"/>
                <w:szCs w:val="22"/>
                <w:lang w:eastAsia="en-GB"/>
              </w:rPr>
              <w:t>Authorised limit £'000</w:t>
            </w:r>
          </w:p>
        </w:tc>
        <w:tc>
          <w:tcPr>
            <w:tcW w:w="2300" w:type="dxa"/>
            <w:tcBorders>
              <w:top w:val="single" w:sz="8" w:space="0" w:color="auto"/>
              <w:left w:val="nil"/>
              <w:bottom w:val="nil"/>
              <w:right w:val="single" w:sz="8" w:space="0" w:color="auto"/>
            </w:tcBorders>
            <w:shd w:val="clear" w:color="000000" w:fill="B3B3B3"/>
            <w:vAlign w:val="center"/>
            <w:hideMark/>
          </w:tcPr>
          <w:p w14:paraId="1E7057C3" w14:textId="77777777" w:rsidR="00E93B3B" w:rsidRPr="00E93B3B" w:rsidRDefault="00E93B3B" w:rsidP="00E93B3B">
            <w:pPr>
              <w:jc w:val="center"/>
              <w:rPr>
                <w:rFonts w:cs="Arial"/>
                <w:b/>
                <w:bCs/>
                <w:color w:val="000000"/>
                <w:sz w:val="22"/>
                <w:szCs w:val="22"/>
                <w:lang w:eastAsia="en-GB"/>
              </w:rPr>
            </w:pPr>
            <w:r w:rsidRPr="00E93B3B">
              <w:rPr>
                <w:rFonts w:cs="Arial"/>
                <w:b/>
                <w:bCs/>
                <w:color w:val="000000"/>
                <w:sz w:val="22"/>
                <w:szCs w:val="22"/>
                <w:lang w:eastAsia="en-GB"/>
              </w:rPr>
              <w:t>2021/22</w:t>
            </w:r>
          </w:p>
        </w:tc>
      </w:tr>
      <w:tr w:rsidR="00E93B3B" w:rsidRPr="00E93B3B" w14:paraId="52DE2B80" w14:textId="77777777" w:rsidTr="00E93B3B">
        <w:trPr>
          <w:trHeight w:val="315"/>
        </w:trPr>
        <w:tc>
          <w:tcPr>
            <w:tcW w:w="4540" w:type="dxa"/>
            <w:vMerge/>
            <w:tcBorders>
              <w:top w:val="single" w:sz="8" w:space="0" w:color="auto"/>
              <w:left w:val="single" w:sz="8" w:space="0" w:color="auto"/>
              <w:bottom w:val="single" w:sz="8" w:space="0" w:color="000000"/>
              <w:right w:val="single" w:sz="8" w:space="0" w:color="auto"/>
            </w:tcBorders>
            <w:vAlign w:val="center"/>
            <w:hideMark/>
          </w:tcPr>
          <w:p w14:paraId="71F8FE07" w14:textId="77777777" w:rsidR="00E93B3B" w:rsidRPr="00E93B3B" w:rsidRDefault="00E93B3B" w:rsidP="00E93B3B">
            <w:pPr>
              <w:rPr>
                <w:rFonts w:cs="Arial"/>
                <w:b/>
                <w:bCs/>
                <w:color w:val="000000"/>
                <w:sz w:val="22"/>
                <w:szCs w:val="22"/>
                <w:lang w:eastAsia="en-GB"/>
              </w:rPr>
            </w:pPr>
          </w:p>
        </w:tc>
        <w:tc>
          <w:tcPr>
            <w:tcW w:w="2300" w:type="dxa"/>
            <w:tcBorders>
              <w:top w:val="nil"/>
              <w:left w:val="nil"/>
              <w:bottom w:val="single" w:sz="8" w:space="0" w:color="auto"/>
              <w:right w:val="single" w:sz="8" w:space="0" w:color="auto"/>
            </w:tcBorders>
            <w:shd w:val="clear" w:color="000000" w:fill="B3B3B3"/>
            <w:vAlign w:val="center"/>
            <w:hideMark/>
          </w:tcPr>
          <w:p w14:paraId="783636B8" w14:textId="77777777" w:rsidR="00E93B3B" w:rsidRPr="00E93B3B" w:rsidRDefault="00E93B3B" w:rsidP="00E93B3B">
            <w:pPr>
              <w:jc w:val="center"/>
              <w:rPr>
                <w:rFonts w:cs="Arial"/>
                <w:b/>
                <w:bCs/>
                <w:color w:val="000000"/>
                <w:sz w:val="22"/>
                <w:szCs w:val="22"/>
                <w:lang w:eastAsia="en-GB"/>
              </w:rPr>
            </w:pPr>
            <w:r w:rsidRPr="00E93B3B">
              <w:rPr>
                <w:rFonts w:cs="Arial"/>
                <w:b/>
                <w:bCs/>
                <w:color w:val="000000"/>
                <w:sz w:val="22"/>
                <w:szCs w:val="22"/>
                <w:lang w:eastAsia="en-GB"/>
              </w:rPr>
              <w:t> </w:t>
            </w:r>
          </w:p>
        </w:tc>
      </w:tr>
      <w:tr w:rsidR="00E93B3B" w:rsidRPr="00E93B3B" w14:paraId="01F0CBB9" w14:textId="77777777" w:rsidTr="00E93B3B">
        <w:trPr>
          <w:trHeight w:val="315"/>
        </w:trPr>
        <w:tc>
          <w:tcPr>
            <w:tcW w:w="4540" w:type="dxa"/>
            <w:tcBorders>
              <w:top w:val="nil"/>
              <w:left w:val="single" w:sz="8" w:space="0" w:color="auto"/>
              <w:bottom w:val="single" w:sz="8" w:space="0" w:color="auto"/>
              <w:right w:val="single" w:sz="8" w:space="0" w:color="auto"/>
            </w:tcBorders>
            <w:shd w:val="clear" w:color="auto" w:fill="auto"/>
            <w:vAlign w:val="center"/>
            <w:hideMark/>
          </w:tcPr>
          <w:p w14:paraId="3037B4AD" w14:textId="77777777" w:rsidR="00E93B3B" w:rsidRPr="00E93B3B" w:rsidRDefault="00E93B3B" w:rsidP="00E93B3B">
            <w:pPr>
              <w:jc w:val="both"/>
              <w:rPr>
                <w:rFonts w:cs="Arial"/>
                <w:color w:val="000000"/>
                <w:sz w:val="22"/>
                <w:szCs w:val="22"/>
                <w:lang w:eastAsia="en-GB"/>
              </w:rPr>
            </w:pPr>
            <w:r w:rsidRPr="00E93B3B">
              <w:rPr>
                <w:rFonts w:cs="Arial"/>
                <w:color w:val="000000"/>
                <w:sz w:val="22"/>
                <w:szCs w:val="22"/>
                <w:lang w:eastAsia="en-GB"/>
              </w:rPr>
              <w:t>Borrowing</w:t>
            </w:r>
          </w:p>
        </w:tc>
        <w:tc>
          <w:tcPr>
            <w:tcW w:w="2300" w:type="dxa"/>
            <w:tcBorders>
              <w:top w:val="nil"/>
              <w:left w:val="nil"/>
              <w:bottom w:val="single" w:sz="8" w:space="0" w:color="auto"/>
              <w:right w:val="single" w:sz="8" w:space="0" w:color="auto"/>
            </w:tcBorders>
            <w:shd w:val="clear" w:color="000000" w:fill="FFFFFF"/>
            <w:vAlign w:val="center"/>
            <w:hideMark/>
          </w:tcPr>
          <w:p w14:paraId="641B2F41" w14:textId="77777777" w:rsidR="00E93B3B" w:rsidRPr="00E93B3B" w:rsidRDefault="00E93B3B" w:rsidP="00E93B3B">
            <w:pPr>
              <w:jc w:val="right"/>
              <w:rPr>
                <w:rFonts w:cs="Arial"/>
                <w:color w:val="000000"/>
                <w:sz w:val="22"/>
                <w:szCs w:val="22"/>
                <w:lang w:eastAsia="en-GB"/>
              </w:rPr>
            </w:pPr>
            <w:r w:rsidRPr="00E93B3B">
              <w:rPr>
                <w:rFonts w:cs="Arial"/>
                <w:color w:val="000000"/>
                <w:sz w:val="22"/>
                <w:szCs w:val="22"/>
                <w:lang w:eastAsia="en-GB"/>
              </w:rPr>
              <w:t>696,115</w:t>
            </w:r>
          </w:p>
        </w:tc>
      </w:tr>
      <w:tr w:rsidR="00E93B3B" w:rsidRPr="00E93B3B" w14:paraId="0B0260E7" w14:textId="77777777" w:rsidTr="00E93B3B">
        <w:trPr>
          <w:trHeight w:val="315"/>
        </w:trPr>
        <w:tc>
          <w:tcPr>
            <w:tcW w:w="4540" w:type="dxa"/>
            <w:tcBorders>
              <w:top w:val="nil"/>
              <w:left w:val="single" w:sz="8" w:space="0" w:color="auto"/>
              <w:bottom w:val="single" w:sz="8" w:space="0" w:color="auto"/>
              <w:right w:val="single" w:sz="8" w:space="0" w:color="auto"/>
            </w:tcBorders>
            <w:shd w:val="clear" w:color="auto" w:fill="auto"/>
            <w:vAlign w:val="center"/>
            <w:hideMark/>
          </w:tcPr>
          <w:p w14:paraId="0DC43C65" w14:textId="77777777" w:rsidR="00E93B3B" w:rsidRPr="00E93B3B" w:rsidRDefault="00E93B3B" w:rsidP="00E93B3B">
            <w:pPr>
              <w:jc w:val="both"/>
              <w:rPr>
                <w:rFonts w:cs="Arial"/>
                <w:color w:val="000000"/>
                <w:sz w:val="22"/>
                <w:szCs w:val="22"/>
                <w:lang w:eastAsia="en-GB"/>
              </w:rPr>
            </w:pPr>
            <w:r w:rsidRPr="00E93B3B">
              <w:rPr>
                <w:rFonts w:cs="Arial"/>
                <w:color w:val="000000"/>
                <w:sz w:val="22"/>
                <w:szCs w:val="22"/>
                <w:lang w:eastAsia="en-GB"/>
              </w:rPr>
              <w:t>Other long term liabilities</w:t>
            </w:r>
          </w:p>
        </w:tc>
        <w:tc>
          <w:tcPr>
            <w:tcW w:w="2300" w:type="dxa"/>
            <w:tcBorders>
              <w:top w:val="nil"/>
              <w:left w:val="nil"/>
              <w:bottom w:val="single" w:sz="8" w:space="0" w:color="auto"/>
              <w:right w:val="single" w:sz="8" w:space="0" w:color="auto"/>
            </w:tcBorders>
            <w:shd w:val="clear" w:color="000000" w:fill="FFFFFF"/>
            <w:vAlign w:val="center"/>
            <w:hideMark/>
          </w:tcPr>
          <w:p w14:paraId="3C4DAD69" w14:textId="77777777" w:rsidR="00E93B3B" w:rsidRPr="00E93B3B" w:rsidRDefault="00E93B3B" w:rsidP="00E93B3B">
            <w:pPr>
              <w:jc w:val="right"/>
              <w:rPr>
                <w:rFonts w:cs="Arial"/>
                <w:color w:val="000000"/>
                <w:sz w:val="22"/>
                <w:szCs w:val="22"/>
                <w:lang w:eastAsia="en-GB"/>
              </w:rPr>
            </w:pPr>
            <w:r w:rsidRPr="00E93B3B">
              <w:rPr>
                <w:rFonts w:cs="Arial"/>
                <w:color w:val="000000"/>
                <w:sz w:val="22"/>
                <w:szCs w:val="22"/>
                <w:lang w:eastAsia="en-GB"/>
              </w:rPr>
              <w:t>28,520</w:t>
            </w:r>
          </w:p>
        </w:tc>
      </w:tr>
      <w:tr w:rsidR="00E93B3B" w:rsidRPr="00E93B3B" w14:paraId="5197607A" w14:textId="77777777" w:rsidTr="00E93B3B">
        <w:trPr>
          <w:trHeight w:val="315"/>
        </w:trPr>
        <w:tc>
          <w:tcPr>
            <w:tcW w:w="4540" w:type="dxa"/>
            <w:tcBorders>
              <w:top w:val="nil"/>
              <w:left w:val="single" w:sz="8" w:space="0" w:color="auto"/>
              <w:bottom w:val="single" w:sz="8" w:space="0" w:color="auto"/>
              <w:right w:val="single" w:sz="8" w:space="0" w:color="auto"/>
            </w:tcBorders>
            <w:shd w:val="clear" w:color="auto" w:fill="auto"/>
            <w:vAlign w:val="center"/>
            <w:hideMark/>
          </w:tcPr>
          <w:p w14:paraId="754C2387" w14:textId="77777777" w:rsidR="00E93B3B" w:rsidRPr="00E93B3B" w:rsidRDefault="00E93B3B" w:rsidP="00E93B3B">
            <w:pPr>
              <w:jc w:val="both"/>
              <w:rPr>
                <w:rFonts w:cs="Arial"/>
                <w:b/>
                <w:bCs/>
                <w:color w:val="000000"/>
                <w:sz w:val="22"/>
                <w:szCs w:val="22"/>
                <w:lang w:eastAsia="en-GB"/>
              </w:rPr>
            </w:pPr>
            <w:r w:rsidRPr="00E93B3B">
              <w:rPr>
                <w:rFonts w:cs="Arial"/>
                <w:b/>
                <w:bCs/>
                <w:color w:val="000000"/>
                <w:sz w:val="22"/>
                <w:szCs w:val="22"/>
                <w:lang w:eastAsia="en-GB"/>
              </w:rPr>
              <w:t>Total</w:t>
            </w:r>
          </w:p>
        </w:tc>
        <w:tc>
          <w:tcPr>
            <w:tcW w:w="2300" w:type="dxa"/>
            <w:tcBorders>
              <w:top w:val="nil"/>
              <w:left w:val="nil"/>
              <w:bottom w:val="single" w:sz="8" w:space="0" w:color="auto"/>
              <w:right w:val="single" w:sz="8" w:space="0" w:color="auto"/>
            </w:tcBorders>
            <w:shd w:val="clear" w:color="auto" w:fill="auto"/>
            <w:vAlign w:val="center"/>
            <w:hideMark/>
          </w:tcPr>
          <w:p w14:paraId="04FBF94B" w14:textId="77777777" w:rsidR="00E93B3B" w:rsidRPr="00E93B3B" w:rsidRDefault="00E93B3B" w:rsidP="00E93B3B">
            <w:pPr>
              <w:jc w:val="right"/>
              <w:rPr>
                <w:rFonts w:cs="Arial"/>
                <w:b/>
                <w:bCs/>
                <w:color w:val="000000"/>
                <w:sz w:val="22"/>
                <w:szCs w:val="22"/>
                <w:lang w:eastAsia="en-GB"/>
              </w:rPr>
            </w:pPr>
            <w:r w:rsidRPr="00E93B3B">
              <w:rPr>
                <w:rFonts w:cs="Arial"/>
                <w:b/>
                <w:bCs/>
                <w:color w:val="000000"/>
                <w:sz w:val="22"/>
                <w:szCs w:val="22"/>
                <w:lang w:eastAsia="en-GB"/>
              </w:rPr>
              <w:t>724,635</w:t>
            </w:r>
          </w:p>
        </w:tc>
      </w:tr>
    </w:tbl>
    <w:p w14:paraId="131DD996" w14:textId="51816C8E" w:rsidR="0058418A" w:rsidRDefault="0058418A" w:rsidP="008F2670">
      <w:pPr>
        <w:rPr>
          <w:rFonts w:cs="Arial"/>
          <w:bCs/>
          <w:szCs w:val="24"/>
          <w:lang w:eastAsia="en-GB"/>
        </w:rPr>
      </w:pPr>
    </w:p>
    <w:bookmarkEnd w:id="1"/>
    <w:p w14:paraId="5ABC5250" w14:textId="547A180A" w:rsidR="00161B54" w:rsidRDefault="00161B54" w:rsidP="00337D90">
      <w:pPr>
        <w:pStyle w:val="Heading2"/>
        <w:numPr>
          <w:ilvl w:val="0"/>
          <w:numId w:val="28"/>
        </w:numPr>
        <w:ind w:left="0" w:hanging="567"/>
        <w:rPr>
          <w:rFonts w:ascii="Arial" w:hAnsi="Arial"/>
          <w:color w:val="0000FF"/>
          <w:sz w:val="28"/>
          <w:szCs w:val="28"/>
        </w:rPr>
      </w:pPr>
      <w:r>
        <w:rPr>
          <w:rFonts w:ascii="Arial" w:hAnsi="Arial"/>
          <w:color w:val="0000FF"/>
          <w:sz w:val="28"/>
          <w:szCs w:val="28"/>
        </w:rPr>
        <w:t xml:space="preserve">Economic Update </w:t>
      </w:r>
    </w:p>
    <w:p w14:paraId="6AF9081A" w14:textId="6EB8D0CB" w:rsidR="00161B54" w:rsidRDefault="00161B54" w:rsidP="00161B54"/>
    <w:p w14:paraId="6803B6F8" w14:textId="0FFFA425" w:rsidR="00161B54" w:rsidRDefault="00161B54" w:rsidP="00337D90">
      <w:pPr>
        <w:pStyle w:val="ListParagraph"/>
        <w:numPr>
          <w:ilvl w:val="0"/>
          <w:numId w:val="28"/>
        </w:numPr>
        <w:ind w:left="0" w:hanging="567"/>
      </w:pPr>
      <w:r w:rsidRPr="00161B54">
        <w:t>The Monetary Policy Committee (MPC)</w:t>
      </w:r>
      <w:r>
        <w:t xml:space="preserve"> on the 4</w:t>
      </w:r>
      <w:r w:rsidRPr="009D65F5">
        <w:rPr>
          <w:vertAlign w:val="superscript"/>
        </w:rPr>
        <w:t>th</w:t>
      </w:r>
      <w:r>
        <w:t xml:space="preserve"> November</w:t>
      </w:r>
      <w:r w:rsidRPr="00161B54">
        <w:t xml:space="preserve"> voted 7-2 to leave Bank Rate unchanged at 0.10% with two members voting for an increase to 0.25% and made no changes to its programme of quantitative easing purchases due to finish by the end of this year at a total of £895bn by a vote of 6-3. </w:t>
      </w:r>
    </w:p>
    <w:p w14:paraId="1C0154E5" w14:textId="77777777" w:rsidR="00161B54" w:rsidRDefault="00161B54" w:rsidP="00161B54"/>
    <w:p w14:paraId="46FAEA46" w14:textId="2A4C09EB" w:rsidR="00161B54" w:rsidRDefault="00161B54" w:rsidP="00337D90">
      <w:pPr>
        <w:pStyle w:val="ListParagraph"/>
        <w:numPr>
          <w:ilvl w:val="0"/>
          <w:numId w:val="28"/>
        </w:numPr>
        <w:ind w:left="0" w:hanging="567"/>
      </w:pPr>
      <w:r w:rsidRPr="00161B54">
        <w:t xml:space="preserve">After the Governor and other MPC members had made speeches prior to the </w:t>
      </w:r>
      <w:r w:rsidR="00655D80">
        <w:t xml:space="preserve">November </w:t>
      </w:r>
      <w:r w:rsidRPr="00161B54">
        <w:t>MPC meeting in which they stressed concerns over inflation, (the Bank is now forecasting inflation to reach 5% in April when the next round of capped gas prices will go up), thus reinforcing the</w:t>
      </w:r>
      <w:r w:rsidR="00655D80">
        <w:t>ir</w:t>
      </w:r>
      <w:r w:rsidRPr="00161B54">
        <w:t xml:space="preserve"> strong message from the September MPC meeting, financial markets had confidently built in an expectation that Bank Rate would go up from 0.10% to 0.25% </w:t>
      </w:r>
      <w:r>
        <w:t>in November</w:t>
      </w:r>
      <w:r w:rsidRPr="00161B54">
        <w:t xml:space="preserve">. </w:t>
      </w:r>
    </w:p>
    <w:p w14:paraId="7A02F4F1" w14:textId="77777777" w:rsidR="00161B54" w:rsidRDefault="00161B54" w:rsidP="00161B54"/>
    <w:p w14:paraId="67BAEFD1" w14:textId="4186132D" w:rsidR="00161B54" w:rsidRDefault="0057725D" w:rsidP="00337D90">
      <w:pPr>
        <w:pStyle w:val="ListParagraph"/>
        <w:numPr>
          <w:ilvl w:val="0"/>
          <w:numId w:val="28"/>
        </w:numPr>
        <w:ind w:left="0" w:hanging="567"/>
      </w:pPr>
      <w:r>
        <w:t>W</w:t>
      </w:r>
      <w:r w:rsidR="00161B54">
        <w:t>hile the Bank refrained from raising rates</w:t>
      </w:r>
      <w:r w:rsidR="00655D80">
        <w:t xml:space="preserve"> at the November meeting</w:t>
      </w:r>
      <w:r w:rsidR="00161B54">
        <w:t xml:space="preserve">, the MPC did </w:t>
      </w:r>
      <w:r w:rsidR="00161B54" w:rsidRPr="00161B54">
        <w:t xml:space="preserve">comment, however, that Bank Rate would have to go up in the short term. It is, therefore, relatively evenly balanced as to whether Bank </w:t>
      </w:r>
      <w:r w:rsidR="00655D80">
        <w:t>R</w:t>
      </w:r>
      <w:r w:rsidR="00161B54" w:rsidRPr="00161B54">
        <w:t>ate will be increased in December, February or May. Much will depend on how the statistical releases for the labour market after the end of furlough on 30th September 2021 turn out</w:t>
      </w:r>
      <w:r w:rsidR="00655D80">
        <w:t xml:space="preserve"> when published</w:t>
      </w:r>
      <w:r w:rsidR="00161B54" w:rsidRPr="00161B54">
        <w:t xml:space="preserve">.  </w:t>
      </w:r>
    </w:p>
    <w:p w14:paraId="2B922C37" w14:textId="21B7091B" w:rsidR="00161B54" w:rsidRDefault="00161B54" w:rsidP="00161B54"/>
    <w:p w14:paraId="05E52375" w14:textId="1FBB4B18" w:rsidR="00161B54" w:rsidRDefault="00161B54" w:rsidP="00337D90">
      <w:pPr>
        <w:pStyle w:val="ListParagraph"/>
        <w:numPr>
          <w:ilvl w:val="0"/>
          <w:numId w:val="28"/>
        </w:numPr>
        <w:ind w:left="0" w:hanging="567"/>
      </w:pPr>
      <w:r w:rsidRPr="00161B54">
        <w:t>Over the next year the MPC will be doing a delicate balancing act of weighing combating inflation being higher for longer against growth being held back by significant headwinds.  Those headwinds are due to supply shortages (pushing prices up and holding back production directly), labour shortages, surging fuel prices and tax increases.  However, those headwinds could potentially be offset – at least partially - by consumers spending at least part of the £160bn+ of “excess savings” accumulated during the pandemic.</w:t>
      </w:r>
      <w:r w:rsidR="00A04551">
        <w:t xml:space="preserve">  </w:t>
      </w:r>
      <w:r w:rsidR="0057725D">
        <w:t>Conversely, t</w:t>
      </w:r>
      <w:r w:rsidR="00A04551">
        <w:t xml:space="preserve">here is </w:t>
      </w:r>
      <w:r w:rsidR="0057725D">
        <w:t xml:space="preserve">also </w:t>
      </w:r>
      <w:r w:rsidR="00A04551">
        <w:t>the possibility that people may be content</w:t>
      </w:r>
      <w:r w:rsidRPr="00161B54">
        <w:t xml:space="preserve"> to hold onto elevated savings and investments and, therefore, not support the economic recovery to the extent that the MPC may forecast.</w:t>
      </w:r>
    </w:p>
    <w:p w14:paraId="47D7CAF7" w14:textId="3C922F3C" w:rsidR="00A04551" w:rsidRDefault="00A04551" w:rsidP="00161B54"/>
    <w:p w14:paraId="67293916" w14:textId="65395C3E" w:rsidR="00A04551" w:rsidRDefault="0057725D" w:rsidP="00337D90">
      <w:pPr>
        <w:pStyle w:val="ListParagraph"/>
        <w:numPr>
          <w:ilvl w:val="0"/>
          <w:numId w:val="28"/>
        </w:numPr>
        <w:ind w:left="0" w:hanging="567"/>
      </w:pPr>
      <w:r>
        <w:t>T</w:t>
      </w:r>
      <w:r w:rsidR="00A04551" w:rsidRPr="00A04551">
        <w:t>he MPC pointedly chose to reaffirm its commitment to the 2% inflation target in its statement after the MPC meeting in September yet at its August meeting it had emphasised a willingness to look through inflation overshooting the target for limited periods to ensure that inflation was ‘sustainably over 2%’. On balance, once this winter is over and world demand for gas reduces - so that gas and electricity prices fall back - and once supply shortages of other goods are addressed, the MPC is forecasting that inflation would return to just under the 2% target</w:t>
      </w:r>
      <w:r w:rsidR="00B038AE">
        <w:t xml:space="preserve"> within 3 years</w:t>
      </w:r>
      <w:r w:rsidR="00A04551" w:rsidRPr="00A04551">
        <w:t>.</w:t>
      </w:r>
    </w:p>
    <w:p w14:paraId="438D1E74" w14:textId="2810EA3B" w:rsidR="00545264" w:rsidRDefault="00545264" w:rsidP="00161B54"/>
    <w:p w14:paraId="2FEF9122" w14:textId="286B7B3E" w:rsidR="00545264" w:rsidRPr="00545264" w:rsidRDefault="00BA5614" w:rsidP="00337D90">
      <w:pPr>
        <w:pStyle w:val="ListParagraph"/>
        <w:numPr>
          <w:ilvl w:val="0"/>
          <w:numId w:val="28"/>
        </w:numPr>
        <w:ind w:left="0" w:hanging="567"/>
      </w:pPr>
      <w:r>
        <w:lastRenderedPageBreak/>
        <w:t>T</w:t>
      </w:r>
      <w:r w:rsidR="00545264" w:rsidRPr="00545264">
        <w:t>he MPC’s forward guidance on its intended monetary policy on raising Bank Rate versus selling (quantitative easing) holdings of bonds is as follows: -</w:t>
      </w:r>
    </w:p>
    <w:p w14:paraId="149F89B0" w14:textId="77777777" w:rsidR="00545264" w:rsidRPr="00B038AE" w:rsidRDefault="00545264" w:rsidP="00337D90">
      <w:pPr>
        <w:numPr>
          <w:ilvl w:val="0"/>
          <w:numId w:val="11"/>
        </w:numPr>
        <w:spacing w:line="280" w:lineRule="exact"/>
        <w:ind w:left="567" w:hanging="283"/>
        <w:jc w:val="both"/>
        <w:rPr>
          <w:rFonts w:eastAsia="Bliss 2 Regular" w:cs="Arial"/>
          <w:color w:val="0D0D0D"/>
          <w:szCs w:val="24"/>
        </w:rPr>
      </w:pPr>
      <w:r w:rsidRPr="00B038AE">
        <w:rPr>
          <w:rFonts w:eastAsia="Bliss 2 Regular" w:cs="Arial"/>
          <w:color w:val="0D0D0D"/>
          <w:szCs w:val="24"/>
        </w:rPr>
        <w:t>Raising Bank Rate as “the active instrument in most circumstances”.</w:t>
      </w:r>
    </w:p>
    <w:p w14:paraId="4771F197" w14:textId="77777777" w:rsidR="00545264" w:rsidRPr="00B038AE" w:rsidRDefault="00545264" w:rsidP="00337D90">
      <w:pPr>
        <w:numPr>
          <w:ilvl w:val="0"/>
          <w:numId w:val="11"/>
        </w:numPr>
        <w:spacing w:line="280" w:lineRule="exact"/>
        <w:ind w:left="567" w:hanging="283"/>
        <w:jc w:val="both"/>
        <w:rPr>
          <w:rFonts w:eastAsia="Bliss 2 Regular" w:cs="Arial"/>
          <w:color w:val="0D0D0D"/>
          <w:szCs w:val="24"/>
        </w:rPr>
      </w:pPr>
      <w:r w:rsidRPr="00B038AE">
        <w:rPr>
          <w:rFonts w:eastAsia="Bliss 2 Regular" w:cs="Arial"/>
          <w:color w:val="0D0D0D"/>
          <w:szCs w:val="24"/>
        </w:rPr>
        <w:t>Raising Bank Rate to 0.50% before starting on reducing its holdings.</w:t>
      </w:r>
    </w:p>
    <w:p w14:paraId="794E00B9" w14:textId="77777777" w:rsidR="00545264" w:rsidRPr="00B038AE" w:rsidRDefault="00545264" w:rsidP="00337D90">
      <w:pPr>
        <w:numPr>
          <w:ilvl w:val="0"/>
          <w:numId w:val="11"/>
        </w:numPr>
        <w:spacing w:line="280" w:lineRule="exact"/>
        <w:ind w:left="567" w:hanging="283"/>
        <w:jc w:val="both"/>
        <w:rPr>
          <w:rFonts w:eastAsia="Bliss 2 Regular" w:cs="Arial"/>
          <w:color w:val="0D0D0D"/>
          <w:szCs w:val="24"/>
        </w:rPr>
      </w:pPr>
      <w:r w:rsidRPr="00B038AE">
        <w:rPr>
          <w:rFonts w:eastAsia="Bliss 2 Regular" w:cs="Arial"/>
          <w:color w:val="0D0D0D"/>
          <w:szCs w:val="24"/>
        </w:rPr>
        <w:t>Once Bank Rate is at 0.50% it would stop reinvesting maturing gilts.</w:t>
      </w:r>
    </w:p>
    <w:p w14:paraId="2BF6A39D" w14:textId="219C4B8B" w:rsidR="00545264" w:rsidRPr="00B038AE" w:rsidRDefault="00545264" w:rsidP="00337D90">
      <w:pPr>
        <w:numPr>
          <w:ilvl w:val="0"/>
          <w:numId w:val="11"/>
        </w:numPr>
        <w:spacing w:line="280" w:lineRule="exact"/>
        <w:ind w:left="567" w:hanging="283"/>
        <w:jc w:val="both"/>
        <w:rPr>
          <w:rFonts w:eastAsia="Bliss 2 Regular" w:cs="Arial"/>
          <w:color w:val="0D0D0D"/>
          <w:szCs w:val="24"/>
        </w:rPr>
      </w:pPr>
      <w:r w:rsidRPr="00B038AE">
        <w:rPr>
          <w:rFonts w:eastAsia="Bliss 2 Regular" w:cs="Arial"/>
          <w:color w:val="0D0D0D"/>
          <w:szCs w:val="24"/>
        </w:rPr>
        <w:t>Once Bank Rate had risen to at least 1%, it would start selling its holdings</w:t>
      </w:r>
    </w:p>
    <w:p w14:paraId="040AE5EC" w14:textId="31233AB8" w:rsidR="00D843D6" w:rsidRDefault="00D843D6" w:rsidP="00D843D6">
      <w:pPr>
        <w:spacing w:line="280" w:lineRule="exact"/>
        <w:jc w:val="both"/>
        <w:rPr>
          <w:rFonts w:eastAsia="Bliss 2 Regular" w:cs="Arial"/>
          <w:color w:val="0D0D0D"/>
        </w:rPr>
      </w:pPr>
    </w:p>
    <w:p w14:paraId="532E0A35" w14:textId="4BE8A564" w:rsidR="00D843D6" w:rsidRDefault="00D843D6" w:rsidP="00337D90">
      <w:pPr>
        <w:pStyle w:val="ListParagraph"/>
        <w:numPr>
          <w:ilvl w:val="0"/>
          <w:numId w:val="28"/>
        </w:numPr>
        <w:ind w:left="0" w:hanging="567"/>
      </w:pPr>
      <w:r w:rsidRPr="00D843D6">
        <w:t xml:space="preserve">Since the start of 2021, </w:t>
      </w:r>
      <w:r w:rsidR="007A09A8">
        <w:t>there has been</w:t>
      </w:r>
      <w:r w:rsidRPr="00D843D6">
        <w:t xml:space="preserve"> volatility in gilt yields, and hence PWLB rates. During September, gilt yields from 5 – 50 years rose steadily and after the hawkish tone of the MPC’s minutes on 23rd September. Gilt yields then fell sharply after the Budget on 27th October cancelled nearly all gilt sales until the end of the financial year.  </w:t>
      </w:r>
      <w:r w:rsidR="007A09A8">
        <w:t>Forecasts from Link Group, the Councils treasury advisor</w:t>
      </w:r>
      <w:r w:rsidRPr="00D843D6">
        <w:t xml:space="preserve"> show a steady, but slow, rise in both Bank Rate and gilt yields during the forecast period to March 2025.</w:t>
      </w:r>
      <w:r w:rsidR="00455066">
        <w:t xml:space="preserve"> </w:t>
      </w:r>
    </w:p>
    <w:p w14:paraId="371DCBD0" w14:textId="77777777" w:rsidR="00455066" w:rsidRPr="00D843D6" w:rsidRDefault="00455066" w:rsidP="00D843D6"/>
    <w:p w14:paraId="023666FC" w14:textId="4DF158EF" w:rsidR="00A04551" w:rsidRDefault="00A04551" w:rsidP="00161B54"/>
    <w:p w14:paraId="5872027B" w14:textId="6DB9DDB1" w:rsidR="00A04551" w:rsidRDefault="00A04551" w:rsidP="00A04551">
      <w:pPr>
        <w:pStyle w:val="Heading4"/>
        <w:tabs>
          <w:tab w:val="left" w:pos="3600"/>
        </w:tabs>
        <w:rPr>
          <w:color w:val="0000FF"/>
          <w:szCs w:val="24"/>
        </w:rPr>
      </w:pPr>
      <w:r>
        <w:rPr>
          <w:color w:val="0000FF"/>
          <w:szCs w:val="24"/>
        </w:rPr>
        <w:t>Interest Rate Forecast</w:t>
      </w:r>
    </w:p>
    <w:p w14:paraId="22FF3AB8" w14:textId="00550259" w:rsidR="00A04551" w:rsidRDefault="00A04551" w:rsidP="009D65F5">
      <w:pPr>
        <w:pStyle w:val="ListParagraph"/>
        <w:ind w:left="0"/>
      </w:pPr>
    </w:p>
    <w:p w14:paraId="215BD4AC" w14:textId="5906CEFB" w:rsidR="00545264" w:rsidRDefault="00545264" w:rsidP="00337D90">
      <w:pPr>
        <w:pStyle w:val="ListParagraph"/>
        <w:numPr>
          <w:ilvl w:val="0"/>
          <w:numId w:val="28"/>
        </w:numPr>
        <w:ind w:left="0" w:hanging="567"/>
      </w:pPr>
      <w:r w:rsidRPr="00545264">
        <w:t xml:space="preserve">The Council’s treasury advisor, Link Group, provided the following forecasts on </w:t>
      </w:r>
      <w:r>
        <w:t>8</w:t>
      </w:r>
      <w:r w:rsidRPr="009D65F5">
        <w:t>th</w:t>
      </w:r>
      <w:r>
        <w:t xml:space="preserve"> November</w:t>
      </w:r>
      <w:r w:rsidRPr="00545264">
        <w:t xml:space="preserve"> 2021 (PWLB rates are</w:t>
      </w:r>
      <w:r w:rsidR="006D498A">
        <w:t xml:space="preserve"> based on PWLB</w:t>
      </w:r>
      <w:r w:rsidRPr="00545264">
        <w:t xml:space="preserve"> </w:t>
      </w:r>
      <w:r w:rsidR="006D498A">
        <w:t>C</w:t>
      </w:r>
      <w:r w:rsidRPr="00545264">
        <w:t xml:space="preserve">ertainty </w:t>
      </w:r>
      <w:r w:rsidR="006D498A">
        <w:t>R</w:t>
      </w:r>
      <w:r w:rsidRPr="00545264">
        <w:t>ates,</w:t>
      </w:r>
      <w:r w:rsidR="006D498A">
        <w:t xml:space="preserve"> which are</w:t>
      </w:r>
      <w:r w:rsidRPr="00545264">
        <w:t xml:space="preserve"> gilt yields plus 80bps):</w:t>
      </w:r>
    </w:p>
    <w:p w14:paraId="2041BB71" w14:textId="753F5569" w:rsidR="00545264" w:rsidRDefault="00545264" w:rsidP="00545264"/>
    <w:p w14:paraId="21551377" w14:textId="27F92BA1" w:rsidR="00A04551" w:rsidRPr="00A04551" w:rsidRDefault="00545264" w:rsidP="00A04551">
      <w:r w:rsidRPr="00673D15">
        <w:rPr>
          <w:noProof/>
        </w:rPr>
        <w:drawing>
          <wp:inline distT="0" distB="0" distL="0" distR="0" wp14:anchorId="1D0B943C" wp14:editId="06B06C53">
            <wp:extent cx="6172549" cy="1495425"/>
            <wp:effectExtent l="19050" t="19050" r="190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5790" cy="1496210"/>
                    </a:xfrm>
                    <a:prstGeom prst="rect">
                      <a:avLst/>
                    </a:prstGeom>
                    <a:noFill/>
                    <a:ln>
                      <a:solidFill>
                        <a:schemeClr val="tx1"/>
                      </a:solidFill>
                    </a:ln>
                  </pic:spPr>
                </pic:pic>
              </a:graphicData>
            </a:graphic>
          </wp:inline>
        </w:drawing>
      </w:r>
    </w:p>
    <w:p w14:paraId="2B8D4A73" w14:textId="666DF07F" w:rsidR="00161B54" w:rsidRDefault="00161B54" w:rsidP="008F2670">
      <w:pPr>
        <w:rPr>
          <w:rFonts w:cs="Arial"/>
          <w:bCs/>
          <w:szCs w:val="24"/>
          <w:lang w:eastAsia="en-GB"/>
        </w:rPr>
      </w:pPr>
    </w:p>
    <w:p w14:paraId="22B0265C" w14:textId="77777777" w:rsidR="00161B54" w:rsidRDefault="00161B54" w:rsidP="008F2670">
      <w:pPr>
        <w:rPr>
          <w:rFonts w:cs="Arial"/>
          <w:bCs/>
          <w:szCs w:val="24"/>
          <w:lang w:eastAsia="en-GB"/>
        </w:rPr>
      </w:pPr>
    </w:p>
    <w:p w14:paraId="5E3D76B0" w14:textId="4ABDA891" w:rsidR="00333FAA" w:rsidRDefault="002350C2" w:rsidP="00337D90">
      <w:pPr>
        <w:pStyle w:val="Heading2"/>
        <w:numPr>
          <w:ilvl w:val="0"/>
          <w:numId w:val="29"/>
        </w:numPr>
        <w:ind w:left="0" w:hanging="567"/>
        <w:rPr>
          <w:rFonts w:ascii="Arial" w:hAnsi="Arial"/>
          <w:color w:val="0000FF"/>
          <w:sz w:val="28"/>
          <w:szCs w:val="28"/>
        </w:rPr>
      </w:pPr>
      <w:r>
        <w:rPr>
          <w:rFonts w:ascii="Arial" w:hAnsi="Arial"/>
          <w:color w:val="0000FF"/>
          <w:sz w:val="28"/>
          <w:szCs w:val="28"/>
        </w:rPr>
        <w:t>Treasury Position as at 30 September 2021</w:t>
      </w:r>
    </w:p>
    <w:p w14:paraId="676206F6" w14:textId="77777777" w:rsidR="008F2670" w:rsidRPr="008F2670" w:rsidRDefault="008F2670" w:rsidP="008F2670"/>
    <w:p w14:paraId="6D94F2CB" w14:textId="1B34F3C2" w:rsidR="002350C2" w:rsidRDefault="002350C2" w:rsidP="002350C2">
      <w:pPr>
        <w:pStyle w:val="Heading4"/>
        <w:tabs>
          <w:tab w:val="left" w:pos="3600"/>
        </w:tabs>
        <w:rPr>
          <w:color w:val="0000FF"/>
          <w:szCs w:val="24"/>
        </w:rPr>
      </w:pPr>
      <w:r>
        <w:rPr>
          <w:color w:val="0000FF"/>
          <w:szCs w:val="24"/>
        </w:rPr>
        <w:t>Investments</w:t>
      </w:r>
    </w:p>
    <w:p w14:paraId="69590B83" w14:textId="77777777" w:rsidR="002350C2" w:rsidRPr="009D65F5" w:rsidRDefault="002350C2" w:rsidP="00337D90">
      <w:pPr>
        <w:pStyle w:val="ListParagraph"/>
        <w:numPr>
          <w:ilvl w:val="0"/>
          <w:numId w:val="29"/>
        </w:numPr>
        <w:ind w:left="0" w:hanging="567"/>
        <w:jc w:val="both"/>
        <w:rPr>
          <w:rFonts w:eastAsia="Bliss 2 Regular" w:cs="Arial"/>
          <w:color w:val="0D0D0D"/>
        </w:rPr>
      </w:pPr>
      <w:r w:rsidRPr="009D65F5">
        <w:rPr>
          <w:rFonts w:eastAsia="Bliss 2 Regular" w:cs="Arial"/>
          <w:color w:val="0D0D0D"/>
        </w:rPr>
        <w:t>In accordance with the CIPFA Treasury Management Code of Practice and MHCLG Investment Guidance, the TMSS sets out the Council’s investment priorities as being:</w:t>
      </w:r>
    </w:p>
    <w:p w14:paraId="181B7DF4" w14:textId="77777777" w:rsidR="002350C2" w:rsidRPr="00EF5919" w:rsidRDefault="002350C2" w:rsidP="00337D90">
      <w:pPr>
        <w:numPr>
          <w:ilvl w:val="0"/>
          <w:numId w:val="6"/>
        </w:numPr>
        <w:spacing w:line="280" w:lineRule="exact"/>
        <w:ind w:left="851" w:hanging="284"/>
        <w:jc w:val="both"/>
        <w:rPr>
          <w:rFonts w:eastAsia="Bliss 2 Regular" w:cs="Arial"/>
          <w:color w:val="0D0D0D"/>
        </w:rPr>
      </w:pPr>
      <w:r w:rsidRPr="00EF5919">
        <w:rPr>
          <w:rFonts w:eastAsia="Bliss 2 Regular" w:cs="Arial"/>
          <w:color w:val="0D0D0D"/>
        </w:rPr>
        <w:t>Security of capital</w:t>
      </w:r>
    </w:p>
    <w:p w14:paraId="71BBB98D" w14:textId="77777777" w:rsidR="002350C2" w:rsidRPr="00EF5919" w:rsidRDefault="002350C2" w:rsidP="00337D90">
      <w:pPr>
        <w:numPr>
          <w:ilvl w:val="0"/>
          <w:numId w:val="6"/>
        </w:numPr>
        <w:spacing w:line="280" w:lineRule="exact"/>
        <w:ind w:left="851" w:hanging="284"/>
        <w:jc w:val="both"/>
        <w:rPr>
          <w:rFonts w:eastAsia="Bliss 2 Regular" w:cs="Arial"/>
          <w:color w:val="0D0D0D"/>
        </w:rPr>
      </w:pPr>
      <w:r w:rsidRPr="00EF5919">
        <w:rPr>
          <w:rFonts w:eastAsia="Bliss 2 Regular" w:cs="Arial"/>
          <w:color w:val="0D0D0D"/>
        </w:rPr>
        <w:t>Liquidity</w:t>
      </w:r>
    </w:p>
    <w:p w14:paraId="49CA541A" w14:textId="77777777" w:rsidR="002350C2" w:rsidRPr="00EF5919" w:rsidRDefault="002350C2" w:rsidP="00337D90">
      <w:pPr>
        <w:numPr>
          <w:ilvl w:val="0"/>
          <w:numId w:val="6"/>
        </w:numPr>
        <w:spacing w:line="280" w:lineRule="exact"/>
        <w:ind w:left="851" w:hanging="284"/>
        <w:jc w:val="both"/>
        <w:rPr>
          <w:rFonts w:eastAsia="Bliss 2 Regular" w:cs="Arial"/>
          <w:color w:val="0D0D0D"/>
        </w:rPr>
      </w:pPr>
      <w:r w:rsidRPr="00EF5919">
        <w:rPr>
          <w:rFonts w:eastAsia="Bliss 2 Regular" w:cs="Arial"/>
          <w:color w:val="0D0D0D"/>
        </w:rPr>
        <w:t>Yield</w:t>
      </w:r>
    </w:p>
    <w:p w14:paraId="72094947" w14:textId="77777777" w:rsidR="002350C2" w:rsidRPr="00EF5919" w:rsidRDefault="002350C2" w:rsidP="002350C2">
      <w:pPr>
        <w:jc w:val="both"/>
        <w:rPr>
          <w:rFonts w:eastAsia="Bliss 2 Regular" w:cs="Arial"/>
          <w:i/>
          <w:color w:val="0D0D0D"/>
        </w:rPr>
      </w:pPr>
    </w:p>
    <w:p w14:paraId="38A36E56" w14:textId="6B276F6A" w:rsidR="004D0C2A" w:rsidRDefault="004D0C2A" w:rsidP="00337D90">
      <w:pPr>
        <w:pStyle w:val="ListParagraph"/>
        <w:numPr>
          <w:ilvl w:val="0"/>
          <w:numId w:val="29"/>
        </w:numPr>
        <w:ind w:left="0" w:hanging="567"/>
        <w:jc w:val="both"/>
        <w:rPr>
          <w:rFonts w:eastAsia="Bliss 2 Regular" w:cs="Arial"/>
          <w:color w:val="0D0D0D"/>
        </w:rPr>
      </w:pPr>
      <w:r>
        <w:rPr>
          <w:rFonts w:eastAsia="Bliss 2 Regular" w:cs="Arial"/>
          <w:color w:val="0D0D0D"/>
        </w:rPr>
        <w:t>I</w:t>
      </w:r>
      <w:r w:rsidRPr="004D0C2A">
        <w:rPr>
          <w:rFonts w:eastAsia="Bliss 2 Regular" w:cs="Arial"/>
          <w:color w:val="0D0D0D"/>
        </w:rPr>
        <w:t>t is now impossible to earn the level of interest rates commonly seen in previous decades as short-term money market investment rates</w:t>
      </w:r>
      <w:r w:rsidR="009D3067">
        <w:rPr>
          <w:rFonts w:eastAsia="Bliss 2 Regular" w:cs="Arial"/>
          <w:color w:val="0D0D0D"/>
        </w:rPr>
        <w:t xml:space="preserve"> have continued to remain low following the cut in Bank Rate to 0.10% in March 2020.  </w:t>
      </w:r>
      <w:r w:rsidR="00455066">
        <w:rPr>
          <w:rFonts w:eastAsia="Bliss 2 Regular" w:cs="Arial"/>
          <w:color w:val="0D0D0D"/>
        </w:rPr>
        <w:t>After</w:t>
      </w:r>
      <w:r w:rsidR="009D3067">
        <w:rPr>
          <w:rFonts w:eastAsia="Bliss 2 Regular" w:cs="Arial"/>
          <w:color w:val="0D0D0D"/>
        </w:rPr>
        <w:t xml:space="preserve"> the </w:t>
      </w:r>
      <w:r w:rsidRPr="004D0C2A">
        <w:rPr>
          <w:rFonts w:eastAsia="Bliss 2 Regular" w:cs="Arial"/>
          <w:color w:val="0D0D0D"/>
        </w:rPr>
        <w:t xml:space="preserve">MPC meeting on 24th September 2021 </w:t>
      </w:r>
      <w:r w:rsidR="009D3067">
        <w:rPr>
          <w:rFonts w:eastAsia="Bliss 2 Regular" w:cs="Arial"/>
          <w:color w:val="0D0D0D"/>
        </w:rPr>
        <w:t>6</w:t>
      </w:r>
      <w:r w:rsidR="00455066">
        <w:rPr>
          <w:rFonts w:eastAsia="Bliss 2 Regular" w:cs="Arial"/>
          <w:color w:val="0D0D0D"/>
        </w:rPr>
        <w:t xml:space="preserve"> month</w:t>
      </w:r>
      <w:r w:rsidR="009D3067">
        <w:rPr>
          <w:rFonts w:eastAsia="Bliss 2 Regular" w:cs="Arial"/>
          <w:color w:val="0D0D0D"/>
        </w:rPr>
        <w:t xml:space="preserve"> to </w:t>
      </w:r>
      <w:r w:rsidRPr="004D0C2A">
        <w:rPr>
          <w:rFonts w:eastAsia="Bliss 2 Regular" w:cs="Arial"/>
          <w:color w:val="0D0D0D"/>
        </w:rPr>
        <w:t xml:space="preserve">12 month </w:t>
      </w:r>
      <w:r w:rsidR="00455066">
        <w:rPr>
          <w:rFonts w:eastAsia="Bliss 2 Regular" w:cs="Arial"/>
          <w:color w:val="0D0D0D"/>
        </w:rPr>
        <w:t xml:space="preserve">deposit </w:t>
      </w:r>
      <w:r w:rsidRPr="004D0C2A">
        <w:rPr>
          <w:rFonts w:eastAsia="Bliss 2 Regular" w:cs="Arial"/>
          <w:color w:val="0D0D0D"/>
        </w:rPr>
        <w:t>rates rose in anticipation of Bank Rate going up in 2022</w:t>
      </w:r>
      <w:r w:rsidR="009D3067">
        <w:rPr>
          <w:rFonts w:eastAsia="Bliss 2 Regular" w:cs="Arial"/>
          <w:color w:val="0D0D0D"/>
        </w:rPr>
        <w:t>, and while the MPC didn’t raise Bank Rate</w:t>
      </w:r>
      <w:r w:rsidR="00455066">
        <w:rPr>
          <w:rFonts w:eastAsia="Bliss 2 Regular" w:cs="Arial"/>
          <w:color w:val="0D0D0D"/>
        </w:rPr>
        <w:t xml:space="preserve"> in November in line with market expectations, it</w:t>
      </w:r>
      <w:r w:rsidR="009D3067">
        <w:rPr>
          <w:rFonts w:eastAsia="Bliss 2 Regular" w:cs="Arial"/>
          <w:color w:val="0D0D0D"/>
        </w:rPr>
        <w:t xml:space="preserve"> </w:t>
      </w:r>
      <w:r w:rsidR="00B72640">
        <w:rPr>
          <w:rFonts w:eastAsia="Bliss 2 Regular" w:cs="Arial"/>
          <w:color w:val="0D0D0D"/>
        </w:rPr>
        <w:t xml:space="preserve">has continued to price in an increase which </w:t>
      </w:r>
      <w:r w:rsidR="00B24B13">
        <w:rPr>
          <w:rFonts w:eastAsia="Bliss 2 Regular" w:cs="Arial"/>
          <w:color w:val="0D0D0D"/>
        </w:rPr>
        <w:t>have impacted</w:t>
      </w:r>
      <w:r w:rsidR="00B72640">
        <w:rPr>
          <w:rFonts w:eastAsia="Bliss 2 Regular" w:cs="Arial"/>
          <w:color w:val="0D0D0D"/>
        </w:rPr>
        <w:t xml:space="preserve"> yields for durations in all but the short term liquidity periods</w:t>
      </w:r>
      <w:r w:rsidR="00B24B13">
        <w:rPr>
          <w:rFonts w:eastAsia="Bliss 2 Regular" w:cs="Arial"/>
          <w:color w:val="0D0D0D"/>
        </w:rPr>
        <w:t>, albeit marginally</w:t>
      </w:r>
      <w:r w:rsidRPr="004D0C2A">
        <w:rPr>
          <w:rFonts w:eastAsia="Bliss 2 Regular" w:cs="Arial"/>
          <w:color w:val="0D0D0D"/>
        </w:rPr>
        <w:t xml:space="preserve">. Given this </w:t>
      </w:r>
      <w:r w:rsidR="00B24B13">
        <w:rPr>
          <w:rFonts w:eastAsia="Bliss 2 Regular" w:cs="Arial"/>
          <w:color w:val="0D0D0D"/>
        </w:rPr>
        <w:t>low starting point</w:t>
      </w:r>
      <w:r w:rsidRPr="004D0C2A">
        <w:rPr>
          <w:rFonts w:eastAsia="Bliss 2 Regular" w:cs="Arial"/>
          <w:color w:val="0D0D0D"/>
        </w:rPr>
        <w:t xml:space="preserve"> and the fact that Bank Rate</w:t>
      </w:r>
      <w:r w:rsidR="00B72640">
        <w:rPr>
          <w:rFonts w:eastAsia="Bliss 2 Regular" w:cs="Arial"/>
          <w:color w:val="0D0D0D"/>
        </w:rPr>
        <w:t xml:space="preserve"> is still only forecast to rise incrementally </w:t>
      </w:r>
      <w:r w:rsidR="00B72640">
        <w:rPr>
          <w:rFonts w:eastAsia="Bliss 2 Regular" w:cs="Arial"/>
          <w:color w:val="0D0D0D"/>
        </w:rPr>
        <w:lastRenderedPageBreak/>
        <w:t xml:space="preserve">through to March 2025 means that </w:t>
      </w:r>
      <w:r w:rsidRPr="004D0C2A">
        <w:rPr>
          <w:rFonts w:eastAsia="Bliss 2 Regular" w:cs="Arial"/>
          <w:color w:val="0D0D0D"/>
        </w:rPr>
        <w:t>investment returns are expected to remain low</w:t>
      </w:r>
      <w:r w:rsidR="00B24B13">
        <w:rPr>
          <w:rFonts w:eastAsia="Bliss 2 Regular" w:cs="Arial"/>
          <w:color w:val="0D0D0D"/>
        </w:rPr>
        <w:t xml:space="preserve"> for the foreseeable future</w:t>
      </w:r>
      <w:r w:rsidRPr="004D0C2A">
        <w:rPr>
          <w:rFonts w:eastAsia="Bliss 2 Regular" w:cs="Arial"/>
          <w:color w:val="0D0D0D"/>
        </w:rPr>
        <w:t xml:space="preserve">. </w:t>
      </w:r>
    </w:p>
    <w:p w14:paraId="45604907" w14:textId="0FFB2A11" w:rsidR="00B72640" w:rsidRDefault="00B72640" w:rsidP="004D0C2A">
      <w:pPr>
        <w:jc w:val="both"/>
        <w:rPr>
          <w:rFonts w:eastAsia="Bliss 2 Regular" w:cs="Arial"/>
          <w:color w:val="0D0D0D"/>
        </w:rPr>
      </w:pPr>
    </w:p>
    <w:p w14:paraId="3189877F" w14:textId="5B66A499" w:rsidR="00BF6D8A" w:rsidRDefault="00BF6D8A" w:rsidP="004D0C2A">
      <w:pPr>
        <w:jc w:val="both"/>
        <w:rPr>
          <w:rFonts w:eastAsia="Bliss 2 Regular" w:cs="Arial"/>
          <w:color w:val="0D0D0D"/>
        </w:rPr>
      </w:pPr>
      <w:r w:rsidRPr="006D498A">
        <w:rPr>
          <w:rFonts w:eastAsia="Bliss 2 Regular" w:cs="Arial"/>
          <w:color w:val="0D0D0D"/>
        </w:rPr>
        <w:t xml:space="preserve">Table </w:t>
      </w:r>
      <w:r w:rsidR="006D498A" w:rsidRPr="006D498A">
        <w:rPr>
          <w:rFonts w:eastAsia="Bliss 2 Regular" w:cs="Arial"/>
          <w:color w:val="0D0D0D"/>
        </w:rPr>
        <w:t>6</w:t>
      </w:r>
    </w:p>
    <w:tbl>
      <w:tblPr>
        <w:tblW w:w="10036" w:type="dxa"/>
        <w:tblLook w:val="04A0" w:firstRow="1" w:lastRow="0" w:firstColumn="1" w:lastColumn="0" w:noHBand="0" w:noVBand="1"/>
      </w:tblPr>
      <w:tblGrid>
        <w:gridCol w:w="2073"/>
        <w:gridCol w:w="1146"/>
        <w:gridCol w:w="1261"/>
        <w:gridCol w:w="1430"/>
        <w:gridCol w:w="1146"/>
        <w:gridCol w:w="1261"/>
        <w:gridCol w:w="1483"/>
        <w:gridCol w:w="236"/>
      </w:tblGrid>
      <w:tr w:rsidR="00BF6D8A" w:rsidRPr="00BF6D8A" w14:paraId="039D31D2" w14:textId="77777777" w:rsidTr="00BF6D8A">
        <w:trPr>
          <w:gridAfter w:val="1"/>
          <w:wAfter w:w="236" w:type="dxa"/>
          <w:trHeight w:val="315"/>
        </w:trPr>
        <w:tc>
          <w:tcPr>
            <w:tcW w:w="2073"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26C6F686" w14:textId="77777777" w:rsidR="00BF6D8A" w:rsidRPr="00BF6D8A" w:rsidRDefault="00BF6D8A" w:rsidP="00BF6D8A">
            <w:pPr>
              <w:jc w:val="both"/>
              <w:rPr>
                <w:rFonts w:cs="Arial"/>
                <w:b/>
                <w:bCs/>
                <w:color w:val="000000"/>
                <w:sz w:val="22"/>
                <w:szCs w:val="22"/>
                <w:lang w:eastAsia="en-GB"/>
              </w:rPr>
            </w:pPr>
            <w:r w:rsidRPr="00BF6D8A">
              <w:rPr>
                <w:rFonts w:cs="Arial"/>
                <w:b/>
                <w:bCs/>
                <w:color w:val="000000"/>
                <w:sz w:val="22"/>
                <w:szCs w:val="22"/>
                <w:lang w:eastAsia="en-GB"/>
              </w:rPr>
              <w:t>Investment Portfolio</w:t>
            </w:r>
            <w:r w:rsidRPr="00BF6D8A">
              <w:rPr>
                <w:rFonts w:cs="Arial"/>
                <w:b/>
                <w:bCs/>
                <w:color w:val="000000"/>
                <w:sz w:val="22"/>
                <w:szCs w:val="22"/>
                <w:lang w:eastAsia="en-GB"/>
              </w:rPr>
              <w:br/>
              <w:t>£'000</w:t>
            </w:r>
          </w:p>
        </w:tc>
        <w:tc>
          <w:tcPr>
            <w:tcW w:w="3837" w:type="dxa"/>
            <w:gridSpan w:val="3"/>
            <w:tcBorders>
              <w:top w:val="single" w:sz="8" w:space="0" w:color="auto"/>
              <w:left w:val="nil"/>
              <w:bottom w:val="single" w:sz="8" w:space="0" w:color="auto"/>
              <w:right w:val="single" w:sz="8" w:space="0" w:color="000000"/>
            </w:tcBorders>
            <w:shd w:val="clear" w:color="000000" w:fill="B3B3B3"/>
            <w:vAlign w:val="center"/>
            <w:hideMark/>
          </w:tcPr>
          <w:p w14:paraId="39EC2EB3" w14:textId="77777777" w:rsidR="00BF6D8A" w:rsidRPr="00BF6D8A" w:rsidRDefault="00BF6D8A" w:rsidP="00BF6D8A">
            <w:pPr>
              <w:jc w:val="center"/>
              <w:rPr>
                <w:rFonts w:cs="Arial"/>
                <w:b/>
                <w:bCs/>
                <w:color w:val="000000"/>
                <w:sz w:val="22"/>
                <w:szCs w:val="22"/>
                <w:lang w:eastAsia="en-GB"/>
              </w:rPr>
            </w:pPr>
            <w:r w:rsidRPr="00BF6D8A">
              <w:rPr>
                <w:rFonts w:cs="Arial"/>
                <w:b/>
                <w:bCs/>
                <w:color w:val="000000"/>
                <w:sz w:val="22"/>
                <w:szCs w:val="22"/>
                <w:lang w:eastAsia="en-GB"/>
              </w:rPr>
              <w:t>31-Mar-21</w:t>
            </w:r>
          </w:p>
        </w:tc>
        <w:tc>
          <w:tcPr>
            <w:tcW w:w="3890" w:type="dxa"/>
            <w:gridSpan w:val="3"/>
            <w:tcBorders>
              <w:top w:val="single" w:sz="8" w:space="0" w:color="auto"/>
              <w:left w:val="nil"/>
              <w:bottom w:val="single" w:sz="8" w:space="0" w:color="auto"/>
              <w:right w:val="single" w:sz="8" w:space="0" w:color="000000"/>
            </w:tcBorders>
            <w:shd w:val="clear" w:color="000000" w:fill="B3B3B3"/>
            <w:vAlign w:val="center"/>
            <w:hideMark/>
          </w:tcPr>
          <w:p w14:paraId="34C84F76" w14:textId="77777777" w:rsidR="00BF6D8A" w:rsidRPr="00BF6D8A" w:rsidRDefault="00BF6D8A" w:rsidP="00BF6D8A">
            <w:pPr>
              <w:jc w:val="center"/>
              <w:rPr>
                <w:rFonts w:cs="Arial"/>
                <w:b/>
                <w:bCs/>
                <w:color w:val="000000"/>
                <w:sz w:val="22"/>
                <w:szCs w:val="22"/>
                <w:lang w:eastAsia="en-GB"/>
              </w:rPr>
            </w:pPr>
            <w:r w:rsidRPr="00BF6D8A">
              <w:rPr>
                <w:rFonts w:cs="Arial"/>
                <w:b/>
                <w:bCs/>
                <w:color w:val="000000"/>
                <w:sz w:val="22"/>
                <w:szCs w:val="22"/>
                <w:lang w:eastAsia="en-GB"/>
              </w:rPr>
              <w:t>30-Sep-21</w:t>
            </w:r>
          </w:p>
        </w:tc>
      </w:tr>
      <w:tr w:rsidR="00BF6D8A" w:rsidRPr="00BF6D8A" w14:paraId="7B548BF1" w14:textId="77777777" w:rsidTr="00BF6D8A">
        <w:trPr>
          <w:gridAfter w:val="1"/>
          <w:wAfter w:w="236" w:type="dxa"/>
          <w:trHeight w:val="300"/>
        </w:trPr>
        <w:tc>
          <w:tcPr>
            <w:tcW w:w="2073" w:type="dxa"/>
            <w:vMerge/>
            <w:tcBorders>
              <w:top w:val="single" w:sz="8" w:space="0" w:color="auto"/>
              <w:left w:val="single" w:sz="8" w:space="0" w:color="auto"/>
              <w:bottom w:val="single" w:sz="8" w:space="0" w:color="000000"/>
              <w:right w:val="single" w:sz="8" w:space="0" w:color="auto"/>
            </w:tcBorders>
            <w:vAlign w:val="center"/>
            <w:hideMark/>
          </w:tcPr>
          <w:p w14:paraId="408CF17F" w14:textId="77777777" w:rsidR="00BF6D8A" w:rsidRPr="00BF6D8A" w:rsidRDefault="00BF6D8A" w:rsidP="00BF6D8A">
            <w:pPr>
              <w:rPr>
                <w:rFonts w:cs="Arial"/>
                <w:b/>
                <w:bCs/>
                <w:color w:val="000000"/>
                <w:sz w:val="22"/>
                <w:szCs w:val="22"/>
                <w:lang w:eastAsia="en-GB"/>
              </w:rPr>
            </w:pPr>
          </w:p>
        </w:tc>
        <w:tc>
          <w:tcPr>
            <w:tcW w:w="1146"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7A19756B" w14:textId="77777777" w:rsidR="00BF6D8A" w:rsidRPr="00BF6D8A" w:rsidRDefault="00BF6D8A" w:rsidP="00BF6D8A">
            <w:pPr>
              <w:jc w:val="center"/>
              <w:rPr>
                <w:rFonts w:cs="Arial"/>
                <w:b/>
                <w:bCs/>
                <w:color w:val="000000"/>
                <w:sz w:val="22"/>
                <w:szCs w:val="22"/>
                <w:lang w:eastAsia="en-GB"/>
              </w:rPr>
            </w:pPr>
            <w:r w:rsidRPr="00BF6D8A">
              <w:rPr>
                <w:rFonts w:cs="Arial"/>
                <w:b/>
                <w:bCs/>
                <w:color w:val="000000"/>
                <w:sz w:val="22"/>
                <w:szCs w:val="22"/>
                <w:lang w:eastAsia="en-GB"/>
              </w:rPr>
              <w:t>Principal</w:t>
            </w:r>
          </w:p>
        </w:tc>
        <w:tc>
          <w:tcPr>
            <w:tcW w:w="1261"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3DBA735F" w14:textId="77777777" w:rsidR="00BF6D8A" w:rsidRPr="00BF6D8A" w:rsidRDefault="00BF6D8A" w:rsidP="00BF6D8A">
            <w:pPr>
              <w:jc w:val="center"/>
              <w:rPr>
                <w:rFonts w:cs="Arial"/>
                <w:b/>
                <w:bCs/>
                <w:color w:val="000000"/>
                <w:sz w:val="22"/>
                <w:szCs w:val="22"/>
                <w:lang w:eastAsia="en-GB"/>
              </w:rPr>
            </w:pPr>
            <w:r w:rsidRPr="00BF6D8A">
              <w:rPr>
                <w:rFonts w:cs="Arial"/>
                <w:b/>
                <w:bCs/>
                <w:color w:val="000000"/>
                <w:sz w:val="22"/>
                <w:szCs w:val="22"/>
                <w:lang w:eastAsia="en-GB"/>
              </w:rPr>
              <w:t>Average Rate (%)</w:t>
            </w:r>
          </w:p>
        </w:tc>
        <w:tc>
          <w:tcPr>
            <w:tcW w:w="1430"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34E8D3C3" w14:textId="77777777" w:rsidR="00BF6D8A" w:rsidRPr="00BF6D8A" w:rsidRDefault="00BF6D8A" w:rsidP="00BF6D8A">
            <w:pPr>
              <w:jc w:val="center"/>
              <w:rPr>
                <w:rFonts w:cs="Arial"/>
                <w:b/>
                <w:bCs/>
                <w:color w:val="000000"/>
                <w:sz w:val="22"/>
                <w:szCs w:val="22"/>
                <w:lang w:eastAsia="en-GB"/>
              </w:rPr>
            </w:pPr>
            <w:r w:rsidRPr="00BF6D8A">
              <w:rPr>
                <w:rFonts w:cs="Arial"/>
                <w:b/>
                <w:bCs/>
                <w:color w:val="000000"/>
                <w:sz w:val="22"/>
                <w:szCs w:val="22"/>
                <w:lang w:eastAsia="en-GB"/>
              </w:rPr>
              <w:t>Average Life (days)</w:t>
            </w:r>
          </w:p>
        </w:tc>
        <w:tc>
          <w:tcPr>
            <w:tcW w:w="1146"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6310A7EB" w14:textId="77777777" w:rsidR="00BF6D8A" w:rsidRPr="00BF6D8A" w:rsidRDefault="00BF6D8A" w:rsidP="00BF6D8A">
            <w:pPr>
              <w:jc w:val="center"/>
              <w:rPr>
                <w:rFonts w:cs="Arial"/>
                <w:b/>
                <w:bCs/>
                <w:color w:val="000000"/>
                <w:sz w:val="22"/>
                <w:szCs w:val="22"/>
                <w:lang w:eastAsia="en-GB"/>
              </w:rPr>
            </w:pPr>
            <w:r w:rsidRPr="00BF6D8A">
              <w:rPr>
                <w:rFonts w:cs="Arial"/>
                <w:b/>
                <w:bCs/>
                <w:color w:val="000000"/>
                <w:sz w:val="22"/>
                <w:szCs w:val="22"/>
                <w:lang w:eastAsia="en-GB"/>
              </w:rPr>
              <w:t>Principal</w:t>
            </w:r>
          </w:p>
        </w:tc>
        <w:tc>
          <w:tcPr>
            <w:tcW w:w="1261"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1106D889" w14:textId="77777777" w:rsidR="00BF6D8A" w:rsidRPr="00BF6D8A" w:rsidRDefault="00BF6D8A" w:rsidP="00BF6D8A">
            <w:pPr>
              <w:jc w:val="center"/>
              <w:rPr>
                <w:rFonts w:cs="Arial"/>
                <w:b/>
                <w:bCs/>
                <w:color w:val="000000"/>
                <w:sz w:val="22"/>
                <w:szCs w:val="22"/>
                <w:lang w:eastAsia="en-GB"/>
              </w:rPr>
            </w:pPr>
            <w:r w:rsidRPr="00BF6D8A">
              <w:rPr>
                <w:rFonts w:cs="Arial"/>
                <w:b/>
                <w:bCs/>
                <w:color w:val="000000"/>
                <w:sz w:val="22"/>
                <w:szCs w:val="22"/>
                <w:lang w:eastAsia="en-GB"/>
              </w:rPr>
              <w:t>Average Rate (%)</w:t>
            </w:r>
          </w:p>
        </w:tc>
        <w:tc>
          <w:tcPr>
            <w:tcW w:w="1483"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4EADC467" w14:textId="77777777" w:rsidR="00BF6D8A" w:rsidRPr="00BF6D8A" w:rsidRDefault="00BF6D8A" w:rsidP="00BF6D8A">
            <w:pPr>
              <w:jc w:val="center"/>
              <w:rPr>
                <w:rFonts w:cs="Arial"/>
                <w:b/>
                <w:bCs/>
                <w:color w:val="000000"/>
                <w:sz w:val="22"/>
                <w:szCs w:val="22"/>
                <w:lang w:eastAsia="en-GB"/>
              </w:rPr>
            </w:pPr>
            <w:r w:rsidRPr="00BF6D8A">
              <w:rPr>
                <w:rFonts w:cs="Arial"/>
                <w:b/>
                <w:bCs/>
                <w:color w:val="000000"/>
                <w:sz w:val="22"/>
                <w:szCs w:val="22"/>
                <w:lang w:eastAsia="en-GB"/>
              </w:rPr>
              <w:t>Average Life (days)</w:t>
            </w:r>
          </w:p>
        </w:tc>
      </w:tr>
      <w:tr w:rsidR="00BF6D8A" w:rsidRPr="00BF6D8A" w14:paraId="1B915516" w14:textId="77777777" w:rsidTr="00BF6D8A">
        <w:trPr>
          <w:trHeight w:val="315"/>
        </w:trPr>
        <w:tc>
          <w:tcPr>
            <w:tcW w:w="2073" w:type="dxa"/>
            <w:vMerge/>
            <w:tcBorders>
              <w:top w:val="single" w:sz="8" w:space="0" w:color="auto"/>
              <w:left w:val="single" w:sz="8" w:space="0" w:color="auto"/>
              <w:bottom w:val="single" w:sz="8" w:space="0" w:color="000000"/>
              <w:right w:val="single" w:sz="8" w:space="0" w:color="auto"/>
            </w:tcBorders>
            <w:vAlign w:val="center"/>
            <w:hideMark/>
          </w:tcPr>
          <w:p w14:paraId="7589854C" w14:textId="77777777" w:rsidR="00BF6D8A" w:rsidRPr="00BF6D8A" w:rsidRDefault="00BF6D8A" w:rsidP="00BF6D8A">
            <w:pPr>
              <w:rPr>
                <w:rFonts w:cs="Arial"/>
                <w:b/>
                <w:bCs/>
                <w:color w:val="000000"/>
                <w:sz w:val="22"/>
                <w:szCs w:val="22"/>
                <w:lang w:eastAsia="en-GB"/>
              </w:rPr>
            </w:pPr>
          </w:p>
        </w:tc>
        <w:tc>
          <w:tcPr>
            <w:tcW w:w="1146" w:type="dxa"/>
            <w:vMerge/>
            <w:tcBorders>
              <w:top w:val="nil"/>
              <w:left w:val="single" w:sz="8" w:space="0" w:color="auto"/>
              <w:bottom w:val="single" w:sz="8" w:space="0" w:color="000000"/>
              <w:right w:val="single" w:sz="8" w:space="0" w:color="auto"/>
            </w:tcBorders>
            <w:vAlign w:val="center"/>
            <w:hideMark/>
          </w:tcPr>
          <w:p w14:paraId="37CBB26A" w14:textId="77777777" w:rsidR="00BF6D8A" w:rsidRPr="00BF6D8A" w:rsidRDefault="00BF6D8A" w:rsidP="00BF6D8A">
            <w:pPr>
              <w:rPr>
                <w:rFonts w:cs="Arial"/>
                <w:b/>
                <w:bCs/>
                <w:color w:val="000000"/>
                <w:sz w:val="22"/>
                <w:szCs w:val="22"/>
                <w:lang w:eastAsia="en-GB"/>
              </w:rPr>
            </w:pPr>
          </w:p>
        </w:tc>
        <w:tc>
          <w:tcPr>
            <w:tcW w:w="1261" w:type="dxa"/>
            <w:vMerge/>
            <w:tcBorders>
              <w:top w:val="nil"/>
              <w:left w:val="single" w:sz="8" w:space="0" w:color="auto"/>
              <w:bottom w:val="single" w:sz="8" w:space="0" w:color="000000"/>
              <w:right w:val="single" w:sz="8" w:space="0" w:color="auto"/>
            </w:tcBorders>
            <w:vAlign w:val="center"/>
            <w:hideMark/>
          </w:tcPr>
          <w:p w14:paraId="1C886573" w14:textId="77777777" w:rsidR="00BF6D8A" w:rsidRPr="00BF6D8A" w:rsidRDefault="00BF6D8A" w:rsidP="00BF6D8A">
            <w:pPr>
              <w:rPr>
                <w:rFonts w:cs="Arial"/>
                <w:b/>
                <w:bCs/>
                <w:color w:val="000000"/>
                <w:sz w:val="22"/>
                <w:szCs w:val="22"/>
                <w:lang w:eastAsia="en-GB"/>
              </w:rPr>
            </w:pPr>
          </w:p>
        </w:tc>
        <w:tc>
          <w:tcPr>
            <w:tcW w:w="1430" w:type="dxa"/>
            <w:vMerge/>
            <w:tcBorders>
              <w:top w:val="nil"/>
              <w:left w:val="single" w:sz="8" w:space="0" w:color="auto"/>
              <w:bottom w:val="single" w:sz="8" w:space="0" w:color="000000"/>
              <w:right w:val="single" w:sz="8" w:space="0" w:color="auto"/>
            </w:tcBorders>
            <w:vAlign w:val="center"/>
            <w:hideMark/>
          </w:tcPr>
          <w:p w14:paraId="37A8B78E" w14:textId="77777777" w:rsidR="00BF6D8A" w:rsidRPr="00BF6D8A" w:rsidRDefault="00BF6D8A" w:rsidP="00BF6D8A">
            <w:pPr>
              <w:rPr>
                <w:rFonts w:cs="Arial"/>
                <w:b/>
                <w:bCs/>
                <w:color w:val="000000"/>
                <w:sz w:val="22"/>
                <w:szCs w:val="22"/>
                <w:lang w:eastAsia="en-GB"/>
              </w:rPr>
            </w:pPr>
          </w:p>
        </w:tc>
        <w:tc>
          <w:tcPr>
            <w:tcW w:w="1146" w:type="dxa"/>
            <w:vMerge/>
            <w:tcBorders>
              <w:top w:val="nil"/>
              <w:left w:val="single" w:sz="8" w:space="0" w:color="auto"/>
              <w:bottom w:val="single" w:sz="8" w:space="0" w:color="000000"/>
              <w:right w:val="single" w:sz="8" w:space="0" w:color="auto"/>
            </w:tcBorders>
            <w:vAlign w:val="center"/>
            <w:hideMark/>
          </w:tcPr>
          <w:p w14:paraId="5E96A710" w14:textId="77777777" w:rsidR="00BF6D8A" w:rsidRPr="00BF6D8A" w:rsidRDefault="00BF6D8A" w:rsidP="00BF6D8A">
            <w:pPr>
              <w:rPr>
                <w:rFonts w:cs="Arial"/>
                <w:b/>
                <w:bCs/>
                <w:color w:val="000000"/>
                <w:sz w:val="22"/>
                <w:szCs w:val="22"/>
                <w:lang w:eastAsia="en-GB"/>
              </w:rPr>
            </w:pPr>
          </w:p>
        </w:tc>
        <w:tc>
          <w:tcPr>
            <w:tcW w:w="1261" w:type="dxa"/>
            <w:vMerge/>
            <w:tcBorders>
              <w:top w:val="nil"/>
              <w:left w:val="single" w:sz="8" w:space="0" w:color="auto"/>
              <w:bottom w:val="single" w:sz="8" w:space="0" w:color="000000"/>
              <w:right w:val="single" w:sz="8" w:space="0" w:color="auto"/>
            </w:tcBorders>
            <w:vAlign w:val="center"/>
            <w:hideMark/>
          </w:tcPr>
          <w:p w14:paraId="549400E7" w14:textId="77777777" w:rsidR="00BF6D8A" w:rsidRPr="00BF6D8A" w:rsidRDefault="00BF6D8A" w:rsidP="00BF6D8A">
            <w:pPr>
              <w:rPr>
                <w:rFonts w:cs="Arial"/>
                <w:b/>
                <w:bCs/>
                <w:color w:val="000000"/>
                <w:sz w:val="22"/>
                <w:szCs w:val="22"/>
                <w:lang w:eastAsia="en-GB"/>
              </w:rPr>
            </w:pPr>
          </w:p>
        </w:tc>
        <w:tc>
          <w:tcPr>
            <w:tcW w:w="1483" w:type="dxa"/>
            <w:vMerge/>
            <w:tcBorders>
              <w:top w:val="nil"/>
              <w:left w:val="single" w:sz="8" w:space="0" w:color="auto"/>
              <w:bottom w:val="single" w:sz="8" w:space="0" w:color="000000"/>
              <w:right w:val="single" w:sz="8" w:space="0" w:color="auto"/>
            </w:tcBorders>
            <w:vAlign w:val="center"/>
            <w:hideMark/>
          </w:tcPr>
          <w:p w14:paraId="4CF393EE" w14:textId="77777777" w:rsidR="00BF6D8A" w:rsidRPr="00BF6D8A" w:rsidRDefault="00BF6D8A" w:rsidP="00BF6D8A">
            <w:pPr>
              <w:rPr>
                <w:rFonts w:cs="Arial"/>
                <w:b/>
                <w:bCs/>
                <w:color w:val="000000"/>
                <w:sz w:val="22"/>
                <w:szCs w:val="22"/>
                <w:lang w:eastAsia="en-GB"/>
              </w:rPr>
            </w:pPr>
          </w:p>
        </w:tc>
        <w:tc>
          <w:tcPr>
            <w:tcW w:w="236" w:type="dxa"/>
            <w:tcBorders>
              <w:top w:val="nil"/>
              <w:left w:val="nil"/>
              <w:bottom w:val="nil"/>
              <w:right w:val="nil"/>
            </w:tcBorders>
            <w:shd w:val="clear" w:color="auto" w:fill="auto"/>
            <w:noWrap/>
            <w:vAlign w:val="bottom"/>
            <w:hideMark/>
          </w:tcPr>
          <w:p w14:paraId="377EEE86" w14:textId="77777777" w:rsidR="00BF6D8A" w:rsidRPr="00BF6D8A" w:rsidRDefault="00BF6D8A" w:rsidP="00BF6D8A">
            <w:pPr>
              <w:jc w:val="center"/>
              <w:rPr>
                <w:rFonts w:cs="Arial"/>
                <w:b/>
                <w:bCs/>
                <w:color w:val="000000"/>
                <w:sz w:val="22"/>
                <w:szCs w:val="22"/>
                <w:lang w:eastAsia="en-GB"/>
              </w:rPr>
            </w:pPr>
          </w:p>
        </w:tc>
      </w:tr>
      <w:tr w:rsidR="00BF6D8A" w:rsidRPr="00BF6D8A" w14:paraId="5DAA4192" w14:textId="77777777" w:rsidTr="00BF6D8A">
        <w:trPr>
          <w:trHeight w:val="300"/>
        </w:trPr>
        <w:tc>
          <w:tcPr>
            <w:tcW w:w="207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179EEA1" w14:textId="77777777" w:rsidR="00BF6D8A" w:rsidRPr="00BF6D8A" w:rsidRDefault="00BF6D8A" w:rsidP="00BF6D8A">
            <w:pPr>
              <w:jc w:val="both"/>
              <w:rPr>
                <w:rFonts w:cs="Arial"/>
                <w:color w:val="000000"/>
                <w:sz w:val="22"/>
                <w:szCs w:val="22"/>
                <w:lang w:eastAsia="en-GB"/>
              </w:rPr>
            </w:pPr>
            <w:r w:rsidRPr="00BF6D8A">
              <w:rPr>
                <w:rFonts w:cs="Arial"/>
                <w:color w:val="000000"/>
                <w:sz w:val="22"/>
                <w:szCs w:val="22"/>
                <w:lang w:eastAsia="en-GB"/>
              </w:rPr>
              <w:t>- MMFs</w:t>
            </w:r>
          </w:p>
        </w:tc>
        <w:tc>
          <w:tcPr>
            <w:tcW w:w="1146" w:type="dxa"/>
            <w:tcBorders>
              <w:top w:val="single" w:sz="4" w:space="0" w:color="auto"/>
              <w:left w:val="nil"/>
              <w:bottom w:val="single" w:sz="4" w:space="0" w:color="auto"/>
              <w:right w:val="single" w:sz="8" w:space="0" w:color="auto"/>
            </w:tcBorders>
            <w:shd w:val="clear" w:color="000000" w:fill="FFFFFF"/>
            <w:vAlign w:val="center"/>
            <w:hideMark/>
          </w:tcPr>
          <w:p w14:paraId="2DC474D3"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1,616</w:t>
            </w:r>
          </w:p>
        </w:tc>
        <w:tc>
          <w:tcPr>
            <w:tcW w:w="1261" w:type="dxa"/>
            <w:tcBorders>
              <w:top w:val="single" w:sz="4" w:space="0" w:color="auto"/>
              <w:left w:val="nil"/>
              <w:bottom w:val="single" w:sz="4" w:space="0" w:color="auto"/>
              <w:right w:val="single" w:sz="8" w:space="0" w:color="auto"/>
            </w:tcBorders>
            <w:shd w:val="clear" w:color="000000" w:fill="FFFFFF"/>
            <w:vAlign w:val="center"/>
            <w:hideMark/>
          </w:tcPr>
          <w:p w14:paraId="64C2906D"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0.00%</w:t>
            </w:r>
          </w:p>
        </w:tc>
        <w:tc>
          <w:tcPr>
            <w:tcW w:w="1430" w:type="dxa"/>
            <w:tcBorders>
              <w:top w:val="single" w:sz="4" w:space="0" w:color="auto"/>
              <w:left w:val="nil"/>
              <w:bottom w:val="single" w:sz="4" w:space="0" w:color="auto"/>
              <w:right w:val="single" w:sz="8" w:space="0" w:color="auto"/>
            </w:tcBorders>
            <w:shd w:val="clear" w:color="000000" w:fill="FFFFFF"/>
            <w:vAlign w:val="center"/>
            <w:hideMark/>
          </w:tcPr>
          <w:p w14:paraId="172B9445"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1</w:t>
            </w:r>
          </w:p>
        </w:tc>
        <w:tc>
          <w:tcPr>
            <w:tcW w:w="1146" w:type="dxa"/>
            <w:tcBorders>
              <w:top w:val="single" w:sz="4" w:space="0" w:color="auto"/>
              <w:left w:val="nil"/>
              <w:bottom w:val="single" w:sz="4" w:space="0" w:color="auto"/>
              <w:right w:val="single" w:sz="8" w:space="0" w:color="auto"/>
            </w:tcBorders>
            <w:shd w:val="clear" w:color="000000" w:fill="FFFFFF"/>
            <w:vAlign w:val="center"/>
            <w:hideMark/>
          </w:tcPr>
          <w:p w14:paraId="7DE3D967"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1,616</w:t>
            </w:r>
          </w:p>
        </w:tc>
        <w:tc>
          <w:tcPr>
            <w:tcW w:w="1261" w:type="dxa"/>
            <w:tcBorders>
              <w:top w:val="single" w:sz="4" w:space="0" w:color="auto"/>
              <w:left w:val="nil"/>
              <w:bottom w:val="single" w:sz="4" w:space="0" w:color="auto"/>
              <w:right w:val="single" w:sz="8" w:space="0" w:color="auto"/>
            </w:tcBorders>
            <w:shd w:val="clear" w:color="000000" w:fill="FFFFFF"/>
            <w:vAlign w:val="center"/>
            <w:hideMark/>
          </w:tcPr>
          <w:p w14:paraId="2918496B"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0.01%</w:t>
            </w:r>
          </w:p>
        </w:tc>
        <w:tc>
          <w:tcPr>
            <w:tcW w:w="1483" w:type="dxa"/>
            <w:tcBorders>
              <w:top w:val="single" w:sz="4" w:space="0" w:color="auto"/>
              <w:left w:val="nil"/>
              <w:bottom w:val="single" w:sz="4" w:space="0" w:color="auto"/>
              <w:right w:val="single" w:sz="8" w:space="0" w:color="auto"/>
            </w:tcBorders>
            <w:shd w:val="clear" w:color="000000" w:fill="FFFFFF"/>
            <w:vAlign w:val="center"/>
            <w:hideMark/>
          </w:tcPr>
          <w:p w14:paraId="23C5513C"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1</w:t>
            </w:r>
          </w:p>
        </w:tc>
        <w:tc>
          <w:tcPr>
            <w:tcW w:w="236" w:type="dxa"/>
            <w:vAlign w:val="center"/>
            <w:hideMark/>
          </w:tcPr>
          <w:p w14:paraId="63CA2996" w14:textId="77777777" w:rsidR="00BF6D8A" w:rsidRPr="00BF6D8A" w:rsidRDefault="00BF6D8A" w:rsidP="00BF6D8A">
            <w:pPr>
              <w:rPr>
                <w:rFonts w:ascii="Times New Roman" w:hAnsi="Times New Roman"/>
                <w:sz w:val="20"/>
                <w:lang w:eastAsia="en-GB"/>
              </w:rPr>
            </w:pPr>
          </w:p>
        </w:tc>
      </w:tr>
      <w:tr w:rsidR="00BF6D8A" w:rsidRPr="00BF6D8A" w14:paraId="481FA77A" w14:textId="77777777" w:rsidTr="00BF6D8A">
        <w:trPr>
          <w:trHeight w:val="315"/>
        </w:trPr>
        <w:tc>
          <w:tcPr>
            <w:tcW w:w="2073" w:type="dxa"/>
            <w:tcBorders>
              <w:top w:val="nil"/>
              <w:left w:val="single" w:sz="8" w:space="0" w:color="auto"/>
              <w:bottom w:val="nil"/>
              <w:right w:val="single" w:sz="8" w:space="0" w:color="auto"/>
            </w:tcBorders>
            <w:shd w:val="clear" w:color="auto" w:fill="auto"/>
            <w:vAlign w:val="center"/>
            <w:hideMark/>
          </w:tcPr>
          <w:p w14:paraId="67A27553" w14:textId="77777777" w:rsidR="00BF6D8A" w:rsidRPr="00BF6D8A" w:rsidRDefault="00BF6D8A" w:rsidP="00BF6D8A">
            <w:pPr>
              <w:jc w:val="both"/>
              <w:rPr>
                <w:rFonts w:cs="Arial"/>
                <w:color w:val="000000"/>
                <w:sz w:val="22"/>
                <w:szCs w:val="22"/>
                <w:lang w:eastAsia="en-GB"/>
              </w:rPr>
            </w:pPr>
            <w:r w:rsidRPr="00BF6D8A">
              <w:rPr>
                <w:rFonts w:cs="Arial"/>
                <w:color w:val="000000"/>
                <w:sz w:val="22"/>
                <w:szCs w:val="22"/>
                <w:lang w:eastAsia="en-GB"/>
              </w:rPr>
              <w:t>- Banks</w:t>
            </w:r>
          </w:p>
        </w:tc>
        <w:tc>
          <w:tcPr>
            <w:tcW w:w="1146" w:type="dxa"/>
            <w:tcBorders>
              <w:top w:val="nil"/>
              <w:left w:val="nil"/>
              <w:bottom w:val="nil"/>
              <w:right w:val="single" w:sz="8" w:space="0" w:color="auto"/>
            </w:tcBorders>
            <w:shd w:val="clear" w:color="000000" w:fill="FFFFFF"/>
            <w:vAlign w:val="center"/>
            <w:hideMark/>
          </w:tcPr>
          <w:p w14:paraId="5E7BD195"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80,838</w:t>
            </w:r>
          </w:p>
        </w:tc>
        <w:tc>
          <w:tcPr>
            <w:tcW w:w="1261" w:type="dxa"/>
            <w:tcBorders>
              <w:top w:val="nil"/>
              <w:left w:val="nil"/>
              <w:bottom w:val="nil"/>
              <w:right w:val="single" w:sz="8" w:space="0" w:color="auto"/>
            </w:tcBorders>
            <w:shd w:val="clear" w:color="000000" w:fill="FFFFFF"/>
            <w:vAlign w:val="center"/>
            <w:hideMark/>
          </w:tcPr>
          <w:p w14:paraId="4F243890"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0.01%</w:t>
            </w:r>
          </w:p>
        </w:tc>
        <w:tc>
          <w:tcPr>
            <w:tcW w:w="1430" w:type="dxa"/>
            <w:tcBorders>
              <w:top w:val="nil"/>
              <w:left w:val="nil"/>
              <w:bottom w:val="nil"/>
              <w:right w:val="single" w:sz="8" w:space="0" w:color="auto"/>
            </w:tcBorders>
            <w:shd w:val="clear" w:color="000000" w:fill="FFFFFF"/>
            <w:vAlign w:val="center"/>
            <w:hideMark/>
          </w:tcPr>
          <w:p w14:paraId="3B9ADAAF"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4</w:t>
            </w:r>
          </w:p>
        </w:tc>
        <w:tc>
          <w:tcPr>
            <w:tcW w:w="1146" w:type="dxa"/>
            <w:tcBorders>
              <w:top w:val="nil"/>
              <w:left w:val="nil"/>
              <w:bottom w:val="nil"/>
              <w:right w:val="single" w:sz="8" w:space="0" w:color="auto"/>
            </w:tcBorders>
            <w:shd w:val="clear" w:color="000000" w:fill="FFFFFF"/>
            <w:vAlign w:val="center"/>
            <w:hideMark/>
          </w:tcPr>
          <w:p w14:paraId="3EC43468"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118,115</w:t>
            </w:r>
          </w:p>
        </w:tc>
        <w:tc>
          <w:tcPr>
            <w:tcW w:w="1261" w:type="dxa"/>
            <w:tcBorders>
              <w:top w:val="nil"/>
              <w:left w:val="nil"/>
              <w:bottom w:val="nil"/>
              <w:right w:val="single" w:sz="8" w:space="0" w:color="auto"/>
            </w:tcBorders>
            <w:shd w:val="clear" w:color="000000" w:fill="FFFFFF"/>
            <w:vAlign w:val="center"/>
            <w:hideMark/>
          </w:tcPr>
          <w:p w14:paraId="081B428A"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0.01%</w:t>
            </w:r>
          </w:p>
        </w:tc>
        <w:tc>
          <w:tcPr>
            <w:tcW w:w="1483" w:type="dxa"/>
            <w:tcBorders>
              <w:top w:val="nil"/>
              <w:left w:val="nil"/>
              <w:bottom w:val="nil"/>
              <w:right w:val="single" w:sz="8" w:space="0" w:color="auto"/>
            </w:tcBorders>
            <w:shd w:val="clear" w:color="000000" w:fill="FFFFFF"/>
            <w:vAlign w:val="center"/>
            <w:hideMark/>
          </w:tcPr>
          <w:p w14:paraId="18D469EC"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4</w:t>
            </w:r>
          </w:p>
        </w:tc>
        <w:tc>
          <w:tcPr>
            <w:tcW w:w="236" w:type="dxa"/>
            <w:vAlign w:val="center"/>
            <w:hideMark/>
          </w:tcPr>
          <w:p w14:paraId="27F048A5" w14:textId="77777777" w:rsidR="00BF6D8A" w:rsidRPr="00BF6D8A" w:rsidRDefault="00BF6D8A" w:rsidP="00BF6D8A">
            <w:pPr>
              <w:rPr>
                <w:rFonts w:ascii="Times New Roman" w:hAnsi="Times New Roman"/>
                <w:sz w:val="20"/>
                <w:lang w:eastAsia="en-GB"/>
              </w:rPr>
            </w:pPr>
          </w:p>
        </w:tc>
      </w:tr>
      <w:tr w:rsidR="00BF6D8A" w:rsidRPr="00BF6D8A" w14:paraId="61FD96BC" w14:textId="77777777" w:rsidTr="00BF6D8A">
        <w:trPr>
          <w:trHeight w:val="315"/>
        </w:trPr>
        <w:tc>
          <w:tcPr>
            <w:tcW w:w="20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68BC61" w14:textId="77777777" w:rsidR="00BF6D8A" w:rsidRPr="00BF6D8A" w:rsidRDefault="00BF6D8A" w:rsidP="00BF6D8A">
            <w:pPr>
              <w:jc w:val="both"/>
              <w:rPr>
                <w:rFonts w:cs="Arial"/>
                <w:color w:val="000000"/>
                <w:sz w:val="22"/>
                <w:szCs w:val="22"/>
                <w:lang w:eastAsia="en-GB"/>
              </w:rPr>
            </w:pPr>
            <w:r w:rsidRPr="00BF6D8A">
              <w:rPr>
                <w:rFonts w:cs="Arial"/>
                <w:color w:val="000000"/>
                <w:sz w:val="22"/>
                <w:szCs w:val="22"/>
                <w:lang w:eastAsia="en-GB"/>
              </w:rPr>
              <w:t>Total Investments</w:t>
            </w:r>
          </w:p>
        </w:tc>
        <w:tc>
          <w:tcPr>
            <w:tcW w:w="1146" w:type="dxa"/>
            <w:tcBorders>
              <w:top w:val="single" w:sz="8" w:space="0" w:color="auto"/>
              <w:left w:val="nil"/>
              <w:bottom w:val="single" w:sz="8" w:space="0" w:color="auto"/>
              <w:right w:val="single" w:sz="8" w:space="0" w:color="auto"/>
            </w:tcBorders>
            <w:shd w:val="clear" w:color="000000" w:fill="FFFFFF"/>
            <w:vAlign w:val="center"/>
            <w:hideMark/>
          </w:tcPr>
          <w:p w14:paraId="2A0F8C89"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82,454</w:t>
            </w:r>
          </w:p>
        </w:tc>
        <w:tc>
          <w:tcPr>
            <w:tcW w:w="1261" w:type="dxa"/>
            <w:tcBorders>
              <w:top w:val="single" w:sz="8" w:space="0" w:color="auto"/>
              <w:left w:val="nil"/>
              <w:bottom w:val="single" w:sz="8" w:space="0" w:color="auto"/>
              <w:right w:val="single" w:sz="8" w:space="0" w:color="auto"/>
            </w:tcBorders>
            <w:shd w:val="clear" w:color="000000" w:fill="FFFFFF"/>
            <w:vAlign w:val="center"/>
            <w:hideMark/>
          </w:tcPr>
          <w:p w14:paraId="318F3F8F"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0.01%</w:t>
            </w:r>
          </w:p>
        </w:tc>
        <w:tc>
          <w:tcPr>
            <w:tcW w:w="1430" w:type="dxa"/>
            <w:tcBorders>
              <w:top w:val="single" w:sz="8" w:space="0" w:color="auto"/>
              <w:left w:val="nil"/>
              <w:bottom w:val="single" w:sz="8" w:space="0" w:color="auto"/>
              <w:right w:val="single" w:sz="8" w:space="0" w:color="auto"/>
            </w:tcBorders>
            <w:shd w:val="clear" w:color="000000" w:fill="FFFFFF"/>
            <w:vAlign w:val="center"/>
            <w:hideMark/>
          </w:tcPr>
          <w:p w14:paraId="5F86237B"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4</w:t>
            </w:r>
          </w:p>
        </w:tc>
        <w:tc>
          <w:tcPr>
            <w:tcW w:w="1146" w:type="dxa"/>
            <w:tcBorders>
              <w:top w:val="single" w:sz="8" w:space="0" w:color="auto"/>
              <w:left w:val="nil"/>
              <w:bottom w:val="single" w:sz="8" w:space="0" w:color="auto"/>
              <w:right w:val="single" w:sz="8" w:space="0" w:color="auto"/>
            </w:tcBorders>
            <w:shd w:val="clear" w:color="000000" w:fill="FFFFFF"/>
            <w:vAlign w:val="center"/>
            <w:hideMark/>
          </w:tcPr>
          <w:p w14:paraId="380C15AA"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119,731</w:t>
            </w:r>
          </w:p>
        </w:tc>
        <w:tc>
          <w:tcPr>
            <w:tcW w:w="1261" w:type="dxa"/>
            <w:tcBorders>
              <w:top w:val="single" w:sz="8" w:space="0" w:color="auto"/>
              <w:left w:val="nil"/>
              <w:bottom w:val="single" w:sz="8" w:space="0" w:color="auto"/>
              <w:right w:val="single" w:sz="8" w:space="0" w:color="auto"/>
            </w:tcBorders>
            <w:shd w:val="clear" w:color="000000" w:fill="FFFFFF"/>
            <w:vAlign w:val="center"/>
            <w:hideMark/>
          </w:tcPr>
          <w:p w14:paraId="42A7F32C"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0.01%</w:t>
            </w:r>
          </w:p>
        </w:tc>
        <w:tc>
          <w:tcPr>
            <w:tcW w:w="1483" w:type="dxa"/>
            <w:tcBorders>
              <w:top w:val="single" w:sz="8" w:space="0" w:color="auto"/>
              <w:left w:val="nil"/>
              <w:bottom w:val="single" w:sz="8" w:space="0" w:color="auto"/>
              <w:right w:val="single" w:sz="8" w:space="0" w:color="auto"/>
            </w:tcBorders>
            <w:shd w:val="clear" w:color="000000" w:fill="FFFFFF"/>
            <w:vAlign w:val="center"/>
            <w:hideMark/>
          </w:tcPr>
          <w:p w14:paraId="4028C5B6" w14:textId="77777777" w:rsidR="00BF6D8A" w:rsidRPr="00BF6D8A" w:rsidRDefault="00BF6D8A" w:rsidP="00BF6D8A">
            <w:pPr>
              <w:jc w:val="right"/>
              <w:rPr>
                <w:rFonts w:cs="Arial"/>
                <w:color w:val="000000"/>
                <w:sz w:val="22"/>
                <w:szCs w:val="22"/>
                <w:lang w:eastAsia="en-GB"/>
              </w:rPr>
            </w:pPr>
            <w:r w:rsidRPr="00BF6D8A">
              <w:rPr>
                <w:rFonts w:cs="Arial"/>
                <w:color w:val="000000"/>
                <w:sz w:val="22"/>
                <w:szCs w:val="22"/>
                <w:lang w:eastAsia="en-GB"/>
              </w:rPr>
              <w:t>4</w:t>
            </w:r>
          </w:p>
        </w:tc>
        <w:tc>
          <w:tcPr>
            <w:tcW w:w="236" w:type="dxa"/>
            <w:vAlign w:val="center"/>
            <w:hideMark/>
          </w:tcPr>
          <w:p w14:paraId="7735B214" w14:textId="77777777" w:rsidR="00BF6D8A" w:rsidRPr="00BF6D8A" w:rsidRDefault="00BF6D8A" w:rsidP="00BF6D8A">
            <w:pPr>
              <w:rPr>
                <w:rFonts w:ascii="Times New Roman" w:hAnsi="Times New Roman"/>
                <w:sz w:val="20"/>
                <w:lang w:eastAsia="en-GB"/>
              </w:rPr>
            </w:pPr>
          </w:p>
        </w:tc>
      </w:tr>
    </w:tbl>
    <w:p w14:paraId="72776844" w14:textId="69E7FC5A" w:rsidR="00BF6D8A" w:rsidRDefault="00BF6D8A" w:rsidP="004D0C2A">
      <w:pPr>
        <w:jc w:val="both"/>
        <w:rPr>
          <w:rFonts w:eastAsia="Bliss 2 Regular" w:cs="Arial"/>
          <w:color w:val="0D0D0D"/>
        </w:rPr>
      </w:pPr>
    </w:p>
    <w:p w14:paraId="4A4E5EB8" w14:textId="246D7079" w:rsidR="00BF6D8A" w:rsidRDefault="00BF6D8A" w:rsidP="00337D90">
      <w:pPr>
        <w:pStyle w:val="ListParagraph"/>
        <w:numPr>
          <w:ilvl w:val="0"/>
          <w:numId w:val="29"/>
        </w:numPr>
        <w:ind w:left="0" w:hanging="567"/>
        <w:jc w:val="both"/>
        <w:rPr>
          <w:rFonts w:eastAsia="Bliss 2 Regular" w:cs="Arial"/>
          <w:color w:val="0D0D0D"/>
        </w:rPr>
      </w:pPr>
      <w:r w:rsidRPr="00361492">
        <w:rPr>
          <w:rFonts w:eastAsia="Bliss 2 Regular" w:cs="Arial"/>
          <w:color w:val="0D0D0D"/>
        </w:rPr>
        <w:t>The Council held £</w:t>
      </w:r>
      <w:r>
        <w:rPr>
          <w:rFonts w:eastAsia="Bliss 2 Regular" w:cs="Arial"/>
          <w:color w:val="0D0D0D"/>
        </w:rPr>
        <w:t>120</w:t>
      </w:r>
      <w:r w:rsidRPr="00361492">
        <w:rPr>
          <w:rFonts w:eastAsia="Bliss 2 Regular" w:cs="Arial"/>
          <w:color w:val="0D0D0D"/>
        </w:rPr>
        <w:t>m of investments as at 30 September 20</w:t>
      </w:r>
      <w:r w:rsidR="00B24B13">
        <w:rPr>
          <w:rFonts w:eastAsia="Bliss 2 Regular" w:cs="Arial"/>
          <w:color w:val="0D0D0D"/>
        </w:rPr>
        <w:t>21</w:t>
      </w:r>
      <w:r w:rsidRPr="00361492">
        <w:rPr>
          <w:rFonts w:eastAsia="Bliss 2 Regular" w:cs="Arial"/>
          <w:color w:val="0D0D0D"/>
        </w:rPr>
        <w:t xml:space="preserve"> compared with £</w:t>
      </w:r>
      <w:r>
        <w:rPr>
          <w:rFonts w:eastAsia="Bliss 2 Regular" w:cs="Arial"/>
          <w:color w:val="0D0D0D"/>
        </w:rPr>
        <w:t>82</w:t>
      </w:r>
      <w:r w:rsidRPr="00361492">
        <w:rPr>
          <w:rFonts w:eastAsia="Bliss 2 Regular" w:cs="Arial"/>
          <w:color w:val="0D0D0D"/>
        </w:rPr>
        <w:t>m at 31 March 20</w:t>
      </w:r>
      <w:r w:rsidR="00B24B13">
        <w:rPr>
          <w:rFonts w:eastAsia="Bliss 2 Regular" w:cs="Arial"/>
          <w:color w:val="0D0D0D"/>
        </w:rPr>
        <w:t>21</w:t>
      </w:r>
      <w:r w:rsidRPr="00361492">
        <w:rPr>
          <w:rFonts w:eastAsia="Bliss 2 Regular" w:cs="Arial"/>
          <w:color w:val="0D0D0D"/>
        </w:rPr>
        <w:t>.</w:t>
      </w:r>
      <w:r>
        <w:rPr>
          <w:rFonts w:eastAsia="Bliss 2 Regular" w:cs="Arial"/>
          <w:color w:val="0D0D0D"/>
        </w:rPr>
        <w:t xml:space="preserve">  The portfolio remains highly liquid with the yield reflecting the current market for liquid investments.  Cashflow forecasting has been challenging during 2021/22 due to the continued response to the pandemic and the impact this has had on the Authority along with the </w:t>
      </w:r>
      <w:r w:rsidR="00B24B13">
        <w:rPr>
          <w:rFonts w:eastAsia="Bliss 2 Regular" w:cs="Arial"/>
          <w:color w:val="0D0D0D"/>
        </w:rPr>
        <w:t>Council’s continued</w:t>
      </w:r>
      <w:r>
        <w:rPr>
          <w:rFonts w:eastAsia="Bliss 2 Regular" w:cs="Arial"/>
          <w:color w:val="0D0D0D"/>
        </w:rPr>
        <w:t xml:space="preserve"> role within that response.  The internal borrowing strategy of the Authority</w:t>
      </w:r>
      <w:r w:rsidR="00B24B13">
        <w:rPr>
          <w:rFonts w:eastAsia="Bliss 2 Regular" w:cs="Arial"/>
          <w:color w:val="0D0D0D"/>
        </w:rPr>
        <w:t>,</w:t>
      </w:r>
      <w:r>
        <w:rPr>
          <w:rFonts w:eastAsia="Bliss 2 Regular" w:cs="Arial"/>
          <w:color w:val="0D0D0D"/>
        </w:rPr>
        <w:t xml:space="preserve"> focusing on minimising the net cost of borrowing</w:t>
      </w:r>
      <w:r w:rsidR="00B24B13">
        <w:rPr>
          <w:rFonts w:eastAsia="Bliss 2 Regular" w:cs="Arial"/>
          <w:color w:val="0D0D0D"/>
        </w:rPr>
        <w:t>,</w:t>
      </w:r>
      <w:r>
        <w:rPr>
          <w:rFonts w:eastAsia="Bliss 2 Regular" w:cs="Arial"/>
          <w:color w:val="0D0D0D"/>
        </w:rPr>
        <w:t xml:space="preserve"> also prevents longer term investment with a consequential impact on investment return.</w:t>
      </w:r>
    </w:p>
    <w:p w14:paraId="50A5A213" w14:textId="7D47926F" w:rsidR="00BF6D8A" w:rsidRDefault="00BF6D8A" w:rsidP="004D0C2A">
      <w:pPr>
        <w:jc w:val="both"/>
        <w:rPr>
          <w:rFonts w:eastAsia="Bliss 2 Regular" w:cs="Arial"/>
          <w:color w:val="0D0D0D"/>
        </w:rPr>
      </w:pPr>
    </w:p>
    <w:p w14:paraId="4CDAA01C" w14:textId="01623496" w:rsidR="00BF6D8A" w:rsidRDefault="00BF6D8A" w:rsidP="00647D4B">
      <w:pPr>
        <w:pStyle w:val="ListParagraph"/>
        <w:numPr>
          <w:ilvl w:val="0"/>
          <w:numId w:val="29"/>
        </w:numPr>
        <w:ind w:left="0" w:hanging="567"/>
        <w:jc w:val="both"/>
        <w:rPr>
          <w:rFonts w:eastAsia="Bliss 2 Regular" w:cs="Arial"/>
          <w:color w:val="0D0D0D"/>
        </w:rPr>
      </w:pPr>
      <w:bookmarkStart w:id="2" w:name="_Hlk61275900"/>
      <w:r w:rsidRPr="009D4465">
        <w:rPr>
          <w:rFonts w:eastAsia="Bliss 2 Regular" w:cs="Arial"/>
          <w:color w:val="0D0D0D"/>
        </w:rPr>
        <w:t>The Council’s investment income budget</w:t>
      </w:r>
      <w:r w:rsidR="00283417" w:rsidRPr="009D4465">
        <w:rPr>
          <w:rFonts w:eastAsia="Bliss 2 Regular" w:cs="Arial"/>
          <w:color w:val="0D0D0D"/>
        </w:rPr>
        <w:t xml:space="preserve"> for 2021/22</w:t>
      </w:r>
      <w:r w:rsidRPr="009D4465">
        <w:rPr>
          <w:rFonts w:eastAsia="Bliss 2 Regular" w:cs="Arial"/>
          <w:color w:val="0D0D0D"/>
        </w:rPr>
        <w:t xml:space="preserve"> is £</w:t>
      </w:r>
      <w:r w:rsidR="006D498A" w:rsidRPr="009D4465">
        <w:rPr>
          <w:rFonts w:eastAsia="Bliss 2 Regular" w:cs="Arial"/>
          <w:color w:val="0D0D0D"/>
        </w:rPr>
        <w:t>1.256</w:t>
      </w:r>
      <w:r w:rsidRPr="009D4465">
        <w:rPr>
          <w:rFonts w:eastAsia="Bliss 2 Regular" w:cs="Arial"/>
          <w:color w:val="0D0D0D"/>
        </w:rPr>
        <w:t>m and the forecast outturn is £</w:t>
      </w:r>
      <w:r w:rsidR="006D498A" w:rsidRPr="009D4465">
        <w:rPr>
          <w:rFonts w:eastAsia="Bliss 2 Regular" w:cs="Arial"/>
          <w:color w:val="0D0D0D"/>
        </w:rPr>
        <w:t>1.2</w:t>
      </w:r>
      <w:r w:rsidRPr="009D4465">
        <w:rPr>
          <w:rFonts w:eastAsia="Bliss 2 Regular" w:cs="Arial"/>
          <w:color w:val="0D0D0D"/>
        </w:rPr>
        <w:t>m. This includes income from the £15m loan to the West London Waste Authority which the Council approved in July 2013 to finance the cost of a new energy waste plant. The term of the loan is 25 years at an interest rate of 7.604% on a reducing balance</w:t>
      </w:r>
      <w:r w:rsidR="00B24B13" w:rsidRPr="009D4465">
        <w:rPr>
          <w:rFonts w:eastAsia="Bliss 2 Regular" w:cs="Arial"/>
          <w:color w:val="0D0D0D"/>
        </w:rPr>
        <w:t xml:space="preserve"> basis</w:t>
      </w:r>
      <w:r w:rsidRPr="009D4465">
        <w:rPr>
          <w:rFonts w:eastAsia="Bliss 2 Regular" w:cs="Arial"/>
          <w:color w:val="0D0D0D"/>
        </w:rPr>
        <w:t>. The loan balance at the 31 March 202</w:t>
      </w:r>
      <w:r w:rsidR="00B24B13" w:rsidRPr="009D4465">
        <w:rPr>
          <w:rFonts w:eastAsia="Bliss 2 Regular" w:cs="Arial"/>
          <w:color w:val="0D0D0D"/>
        </w:rPr>
        <w:t>1</w:t>
      </w:r>
      <w:r w:rsidRPr="009D4465">
        <w:rPr>
          <w:rFonts w:eastAsia="Bliss 2 Regular" w:cs="Arial"/>
          <w:color w:val="0D0D0D"/>
        </w:rPr>
        <w:t xml:space="preserve"> was £1</w:t>
      </w:r>
      <w:r w:rsidR="006D498A" w:rsidRPr="009D4465">
        <w:rPr>
          <w:rFonts w:eastAsia="Bliss 2 Regular" w:cs="Arial"/>
          <w:color w:val="0D0D0D"/>
        </w:rPr>
        <w:t>5</w:t>
      </w:r>
      <w:r w:rsidRPr="009D4465">
        <w:rPr>
          <w:rFonts w:eastAsia="Bliss 2 Regular" w:cs="Arial"/>
          <w:color w:val="0D0D0D"/>
        </w:rPr>
        <w:t>.</w:t>
      </w:r>
      <w:r w:rsidR="006D498A" w:rsidRPr="009D4465">
        <w:rPr>
          <w:rFonts w:eastAsia="Bliss 2 Regular" w:cs="Arial"/>
          <w:color w:val="0D0D0D"/>
        </w:rPr>
        <w:t>8</w:t>
      </w:r>
      <w:r w:rsidRPr="009D4465">
        <w:rPr>
          <w:rFonts w:eastAsia="Bliss 2 Regular" w:cs="Arial"/>
          <w:color w:val="0D0D0D"/>
        </w:rPr>
        <w:t xml:space="preserve">m which includes interest accrued to date. </w:t>
      </w:r>
      <w:bookmarkEnd w:id="2"/>
    </w:p>
    <w:p w14:paraId="2F881617" w14:textId="77777777" w:rsidR="009D4465" w:rsidRPr="009D4465" w:rsidRDefault="009D4465" w:rsidP="009D4465">
      <w:pPr>
        <w:pStyle w:val="ListParagraph"/>
        <w:ind w:left="0"/>
        <w:jc w:val="both"/>
        <w:rPr>
          <w:rFonts w:eastAsia="Bliss 2 Regular" w:cs="Arial"/>
          <w:color w:val="0D0D0D"/>
        </w:rPr>
      </w:pPr>
    </w:p>
    <w:p w14:paraId="77CF5D93" w14:textId="1BFB9A39" w:rsidR="00BF6D8A" w:rsidRPr="00361492" w:rsidRDefault="00BF6D8A" w:rsidP="00337D90">
      <w:pPr>
        <w:pStyle w:val="ListParagraph"/>
        <w:numPr>
          <w:ilvl w:val="0"/>
          <w:numId w:val="29"/>
        </w:numPr>
        <w:ind w:left="0" w:hanging="567"/>
        <w:jc w:val="both"/>
        <w:rPr>
          <w:rFonts w:eastAsia="Bliss 2 Regular" w:cs="Arial"/>
          <w:color w:val="0D0D0D"/>
        </w:rPr>
      </w:pPr>
      <w:r w:rsidRPr="00361492">
        <w:rPr>
          <w:rFonts w:eastAsia="Bliss 2 Regular" w:cs="Arial"/>
          <w:color w:val="0D0D0D"/>
        </w:rPr>
        <w:t>During the period cash investments have been held with</w:t>
      </w:r>
      <w:r>
        <w:rPr>
          <w:rFonts w:eastAsia="Bliss 2 Regular" w:cs="Arial"/>
          <w:color w:val="0D0D0D"/>
        </w:rPr>
        <w:t xml:space="preserve"> Deutsche and Fidelity Money Market Funds,</w:t>
      </w:r>
      <w:r w:rsidRPr="00361492">
        <w:rPr>
          <w:rFonts w:eastAsia="Bliss 2 Regular" w:cs="Arial"/>
          <w:color w:val="0D0D0D"/>
        </w:rPr>
        <w:t xml:space="preserve"> Lloyds, Royal Bank of Scotland PLC,</w:t>
      </w:r>
      <w:r>
        <w:rPr>
          <w:rFonts w:eastAsia="Bliss 2 Regular" w:cs="Arial"/>
          <w:color w:val="0D0D0D"/>
        </w:rPr>
        <w:t xml:space="preserve"> and</w:t>
      </w:r>
      <w:r w:rsidRPr="00361492">
        <w:rPr>
          <w:rFonts w:eastAsia="Bliss 2 Regular" w:cs="Arial"/>
          <w:color w:val="0D0D0D"/>
        </w:rPr>
        <w:t xml:space="preserve"> Svenska Handelsbanken.</w:t>
      </w:r>
      <w:r>
        <w:rPr>
          <w:rFonts w:eastAsia="Bliss 2 Regular" w:cs="Arial"/>
          <w:color w:val="0D0D0D"/>
        </w:rPr>
        <w:t xml:space="preserve"> </w:t>
      </w:r>
      <w:r w:rsidRPr="00361492">
        <w:rPr>
          <w:rFonts w:eastAsia="Bliss 2 Regular" w:cs="Arial"/>
          <w:color w:val="0D0D0D"/>
        </w:rPr>
        <w:t>Counterparty use has been with consistent with previous years and in accordance with the credit criteria set out in the TMSS.</w:t>
      </w:r>
      <w:r>
        <w:rPr>
          <w:rFonts w:eastAsia="Bliss 2 Regular" w:cs="Arial"/>
          <w:color w:val="0D0D0D"/>
        </w:rPr>
        <w:t xml:space="preserve">  </w:t>
      </w:r>
      <w:r w:rsidRPr="00EF5919">
        <w:rPr>
          <w:rFonts w:eastAsia="Bliss 2 Regular" w:cs="Arial"/>
          <w:color w:val="0D0D0D"/>
        </w:rPr>
        <w:t xml:space="preserve">Officers can confirm that the approved limits within the Annual Investment Strategy </w:t>
      </w:r>
      <w:r>
        <w:rPr>
          <w:rFonts w:eastAsia="Bliss 2 Regular" w:cs="Arial"/>
          <w:color w:val="0D0D0D"/>
        </w:rPr>
        <w:t xml:space="preserve">have not been breached to the period of </w:t>
      </w:r>
      <w:r w:rsidR="008D7E75">
        <w:rPr>
          <w:rFonts w:eastAsia="Bliss 2 Regular" w:cs="Arial"/>
          <w:color w:val="0D0D0D"/>
        </w:rPr>
        <w:t>29</w:t>
      </w:r>
      <w:r w:rsidR="008D7E75" w:rsidRPr="00337D90">
        <w:rPr>
          <w:rFonts w:eastAsia="Bliss 2 Regular" w:cs="Arial"/>
          <w:color w:val="0D0D0D"/>
        </w:rPr>
        <w:t>th</w:t>
      </w:r>
      <w:r w:rsidR="008D7E75">
        <w:rPr>
          <w:rFonts w:eastAsia="Bliss 2 Regular" w:cs="Arial"/>
          <w:color w:val="0D0D0D"/>
        </w:rPr>
        <w:t xml:space="preserve"> November 2021</w:t>
      </w:r>
      <w:r>
        <w:rPr>
          <w:rFonts w:eastAsia="Bliss 2 Regular" w:cs="Arial"/>
          <w:color w:val="0D0D0D"/>
        </w:rPr>
        <w:t>.</w:t>
      </w:r>
    </w:p>
    <w:p w14:paraId="17DF7FFD" w14:textId="77777777" w:rsidR="00BF6D8A" w:rsidRDefault="00BF6D8A" w:rsidP="004D0C2A">
      <w:pPr>
        <w:jc w:val="both"/>
        <w:rPr>
          <w:rFonts w:eastAsia="Bliss 2 Regular" w:cs="Arial"/>
          <w:color w:val="0D0D0D"/>
        </w:rPr>
      </w:pPr>
    </w:p>
    <w:p w14:paraId="535126D7" w14:textId="524C78DB" w:rsidR="002350C2" w:rsidRPr="009D4465" w:rsidRDefault="004D0C2A" w:rsidP="00337D90">
      <w:pPr>
        <w:pStyle w:val="ListParagraph"/>
        <w:numPr>
          <w:ilvl w:val="0"/>
          <w:numId w:val="29"/>
        </w:numPr>
        <w:ind w:left="0" w:hanging="567"/>
        <w:jc w:val="both"/>
        <w:rPr>
          <w:rFonts w:eastAsia="Bliss 2 Regular" w:cs="Arial"/>
          <w:color w:val="0D0D0D"/>
        </w:rPr>
      </w:pPr>
      <w:r w:rsidRPr="009D4465">
        <w:rPr>
          <w:rFonts w:eastAsia="Bliss 2 Regular" w:cs="Arial"/>
          <w:color w:val="0D0D0D"/>
        </w:rPr>
        <w:t>There are no changes proposed to the Council’s Investment Counterparty Criteria approved in the 2021/22 TMSS.</w:t>
      </w:r>
    </w:p>
    <w:p w14:paraId="578C785A" w14:textId="3BF7A1CF" w:rsidR="008F2670" w:rsidRDefault="008F2670" w:rsidP="008F2670">
      <w:pPr>
        <w:jc w:val="both"/>
        <w:rPr>
          <w:color w:val="0D0D0D" w:themeColor="text1" w:themeTint="F2"/>
        </w:rPr>
      </w:pPr>
    </w:p>
    <w:p w14:paraId="053FE7D7" w14:textId="19DD590A" w:rsidR="008D7E75" w:rsidRDefault="008D7E75" w:rsidP="008D7E75">
      <w:pPr>
        <w:pStyle w:val="Heading4"/>
        <w:tabs>
          <w:tab w:val="left" w:pos="3600"/>
        </w:tabs>
        <w:rPr>
          <w:color w:val="0000FF"/>
          <w:szCs w:val="24"/>
        </w:rPr>
      </w:pPr>
      <w:bookmarkStart w:id="3" w:name="_Hlk89167501"/>
      <w:r>
        <w:rPr>
          <w:color w:val="0000FF"/>
          <w:szCs w:val="24"/>
        </w:rPr>
        <w:t>Borrowing</w:t>
      </w:r>
    </w:p>
    <w:p w14:paraId="5CE409F3" w14:textId="739A1E61" w:rsidR="008D7E75" w:rsidRPr="00361492" w:rsidRDefault="008D7E75" w:rsidP="00337D90">
      <w:pPr>
        <w:pStyle w:val="ListParagraph"/>
        <w:numPr>
          <w:ilvl w:val="0"/>
          <w:numId w:val="29"/>
        </w:numPr>
        <w:ind w:left="0" w:hanging="567"/>
        <w:jc w:val="both"/>
        <w:rPr>
          <w:rFonts w:eastAsia="Bliss 2 Regular" w:cs="Arial"/>
          <w:color w:val="0D0D0D"/>
        </w:rPr>
      </w:pPr>
      <w:r w:rsidRPr="00361492">
        <w:rPr>
          <w:rFonts w:eastAsia="Bliss 2 Regular" w:cs="Arial"/>
          <w:color w:val="0D0D0D"/>
        </w:rPr>
        <w:t xml:space="preserve">The </w:t>
      </w:r>
      <w:r>
        <w:rPr>
          <w:rFonts w:eastAsia="Bliss 2 Regular" w:cs="Arial"/>
          <w:color w:val="0D0D0D"/>
        </w:rPr>
        <w:t>Council</w:t>
      </w:r>
      <w:r w:rsidRPr="00361492">
        <w:rPr>
          <w:rFonts w:eastAsia="Bliss 2 Regular" w:cs="Arial"/>
          <w:color w:val="0D0D0D"/>
        </w:rPr>
        <w:t xml:space="preserve"> continues to run an internal borrowing strategy with</w:t>
      </w:r>
      <w:r>
        <w:rPr>
          <w:rFonts w:eastAsia="Bliss 2 Regular" w:cs="Arial"/>
          <w:color w:val="0D0D0D"/>
        </w:rPr>
        <w:t xml:space="preserve"> a</w:t>
      </w:r>
      <w:r w:rsidRPr="00361492">
        <w:rPr>
          <w:rFonts w:eastAsia="Bliss 2 Regular" w:cs="Arial"/>
          <w:color w:val="0D0D0D"/>
        </w:rPr>
        <w:t xml:space="preserve"> borrowing</w:t>
      </w:r>
      <w:r>
        <w:rPr>
          <w:rFonts w:eastAsia="Bliss 2 Regular" w:cs="Arial"/>
          <w:color w:val="0D0D0D"/>
        </w:rPr>
        <w:t xml:space="preserve"> portfolio</w:t>
      </w:r>
      <w:r w:rsidRPr="00361492">
        <w:rPr>
          <w:rFonts w:eastAsia="Bliss 2 Regular" w:cs="Arial"/>
          <w:color w:val="0D0D0D"/>
        </w:rPr>
        <w:t xml:space="preserve"> of £422m (excluding £1</w:t>
      </w:r>
      <w:r w:rsidR="005D76E5">
        <w:rPr>
          <w:rFonts w:eastAsia="Bliss 2 Regular" w:cs="Arial"/>
          <w:color w:val="0D0D0D"/>
        </w:rPr>
        <w:t>7</w:t>
      </w:r>
      <w:r w:rsidRPr="00361492">
        <w:rPr>
          <w:rFonts w:eastAsia="Bliss 2 Regular" w:cs="Arial"/>
          <w:color w:val="0D0D0D"/>
        </w:rPr>
        <w:t>.</w:t>
      </w:r>
      <w:r w:rsidR="005D76E5">
        <w:rPr>
          <w:rFonts w:eastAsia="Bliss 2 Regular" w:cs="Arial"/>
          <w:color w:val="0D0D0D"/>
        </w:rPr>
        <w:t>6</w:t>
      </w:r>
      <w:r w:rsidRPr="00361492">
        <w:rPr>
          <w:rFonts w:eastAsia="Bliss 2 Regular" w:cs="Arial"/>
          <w:color w:val="0D0D0D"/>
        </w:rPr>
        <w:t>m of PFI and Finance Lease Liabilities) below the actual CFR of £</w:t>
      </w:r>
      <w:r w:rsidR="008073CD">
        <w:rPr>
          <w:rFonts w:eastAsia="Bliss 2 Regular" w:cs="Arial"/>
          <w:color w:val="0D0D0D"/>
        </w:rPr>
        <w:t>573</w:t>
      </w:r>
      <w:r w:rsidRPr="00361492">
        <w:rPr>
          <w:rFonts w:eastAsia="Bliss 2 Regular" w:cs="Arial"/>
          <w:color w:val="0D0D0D"/>
        </w:rPr>
        <w:t>m as at 31 March 202</w:t>
      </w:r>
      <w:r w:rsidR="008073CD">
        <w:rPr>
          <w:rFonts w:eastAsia="Bliss 2 Regular" w:cs="Arial"/>
          <w:color w:val="0D0D0D"/>
        </w:rPr>
        <w:t>1</w:t>
      </w:r>
      <w:r w:rsidRPr="00361492">
        <w:rPr>
          <w:rFonts w:eastAsia="Bliss 2 Regular" w:cs="Arial"/>
          <w:color w:val="0D0D0D"/>
        </w:rPr>
        <w:t xml:space="preserve"> and th</w:t>
      </w:r>
      <w:r>
        <w:rPr>
          <w:rFonts w:eastAsia="Bliss 2 Regular" w:cs="Arial"/>
          <w:color w:val="0D0D0D"/>
        </w:rPr>
        <w:t>e revised</w:t>
      </w:r>
      <w:r w:rsidRPr="00361492">
        <w:rPr>
          <w:rFonts w:eastAsia="Bliss 2 Regular" w:cs="Arial"/>
          <w:color w:val="0D0D0D"/>
        </w:rPr>
        <w:t xml:space="preserve"> estimate</w:t>
      </w:r>
      <w:r>
        <w:rPr>
          <w:rFonts w:eastAsia="Bliss 2 Regular" w:cs="Arial"/>
          <w:color w:val="0D0D0D"/>
        </w:rPr>
        <w:t xml:space="preserve"> of the CFR</w:t>
      </w:r>
      <w:r w:rsidR="00AA7F17">
        <w:rPr>
          <w:rFonts w:eastAsia="Bliss 2 Regular" w:cs="Arial"/>
          <w:color w:val="0D0D0D"/>
        </w:rPr>
        <w:t xml:space="preserve"> for 31</w:t>
      </w:r>
      <w:r w:rsidR="00AA7F17">
        <w:rPr>
          <w:rFonts w:eastAsia="Bliss 2 Regular" w:cs="Arial"/>
          <w:color w:val="0D0D0D"/>
          <w:vertAlign w:val="superscript"/>
        </w:rPr>
        <w:t xml:space="preserve"> </w:t>
      </w:r>
      <w:r w:rsidR="00AA7F17">
        <w:rPr>
          <w:rFonts w:eastAsia="Bliss 2 Regular" w:cs="Arial"/>
          <w:color w:val="0D0D0D"/>
        </w:rPr>
        <w:t>March 2022 of £664m,</w:t>
      </w:r>
      <w:r w:rsidR="009D4465">
        <w:rPr>
          <w:rFonts w:eastAsia="Bliss 2 Regular" w:cs="Arial"/>
          <w:color w:val="0D0D0D"/>
        </w:rPr>
        <w:t xml:space="preserve"> based on the forecast outturn</w:t>
      </w:r>
      <w:r w:rsidR="00AA7F17">
        <w:rPr>
          <w:rFonts w:eastAsia="Bliss 2 Regular" w:cs="Arial"/>
          <w:color w:val="0D0D0D"/>
        </w:rPr>
        <w:t xml:space="preserve"> for the </w:t>
      </w:r>
      <w:r w:rsidR="009D4465">
        <w:rPr>
          <w:rFonts w:eastAsia="Bliss 2 Regular" w:cs="Arial"/>
          <w:color w:val="0D0D0D"/>
        </w:rPr>
        <w:t>from the 2021/22 Q2 Capital Budget Monitoring Report</w:t>
      </w:r>
      <w:r w:rsidRPr="00361492">
        <w:rPr>
          <w:rFonts w:eastAsia="Bliss 2 Regular" w:cs="Arial"/>
          <w:color w:val="0D0D0D"/>
        </w:rPr>
        <w:t>.</w:t>
      </w:r>
    </w:p>
    <w:p w14:paraId="335E9CF9" w14:textId="77777777" w:rsidR="008D7E75" w:rsidRPr="00361492" w:rsidRDefault="008D7E75" w:rsidP="008D7E75">
      <w:pPr>
        <w:jc w:val="both"/>
        <w:rPr>
          <w:rFonts w:eastAsia="Bliss 2 Regular" w:cs="Arial"/>
          <w:color w:val="0D0D0D"/>
        </w:rPr>
      </w:pPr>
    </w:p>
    <w:p w14:paraId="4FB8D34C" w14:textId="0045E262" w:rsidR="008D7E75" w:rsidRPr="00361492" w:rsidRDefault="008D7E75" w:rsidP="00337D90">
      <w:pPr>
        <w:pStyle w:val="ListParagraph"/>
        <w:numPr>
          <w:ilvl w:val="0"/>
          <w:numId w:val="29"/>
        </w:numPr>
        <w:ind w:left="0" w:hanging="567"/>
        <w:jc w:val="both"/>
        <w:rPr>
          <w:rFonts w:eastAsia="Bliss 2 Regular" w:cs="Arial"/>
          <w:color w:val="0D0D0D"/>
        </w:rPr>
      </w:pPr>
      <w:r w:rsidRPr="00361492">
        <w:rPr>
          <w:rFonts w:eastAsia="Bliss 2 Regular" w:cs="Arial"/>
          <w:color w:val="0D0D0D"/>
        </w:rPr>
        <w:t>The Authority’s current borrowing portfolio remains unchanged from 31 March 202</w:t>
      </w:r>
      <w:r>
        <w:rPr>
          <w:rFonts w:eastAsia="Bliss 2 Regular" w:cs="Arial"/>
          <w:color w:val="0D0D0D"/>
        </w:rPr>
        <w:t>1</w:t>
      </w:r>
      <w:r w:rsidRPr="00361492">
        <w:rPr>
          <w:rFonts w:eastAsia="Bliss 2 Regular" w:cs="Arial"/>
          <w:color w:val="0D0D0D"/>
        </w:rPr>
        <w:t>, with no new borrowing undertaken in 202</w:t>
      </w:r>
      <w:r>
        <w:rPr>
          <w:rFonts w:eastAsia="Bliss 2 Regular" w:cs="Arial"/>
          <w:color w:val="0D0D0D"/>
        </w:rPr>
        <w:t>1</w:t>
      </w:r>
      <w:r w:rsidRPr="00361492">
        <w:rPr>
          <w:rFonts w:eastAsia="Bliss 2 Regular" w:cs="Arial"/>
          <w:color w:val="0D0D0D"/>
        </w:rPr>
        <w:t>/2</w:t>
      </w:r>
      <w:r>
        <w:rPr>
          <w:rFonts w:eastAsia="Bliss 2 Regular" w:cs="Arial"/>
          <w:color w:val="0D0D0D"/>
        </w:rPr>
        <w:t>2</w:t>
      </w:r>
      <w:r w:rsidR="008073CD">
        <w:rPr>
          <w:rFonts w:eastAsia="Bliss 2 Regular" w:cs="Arial"/>
          <w:color w:val="0D0D0D"/>
        </w:rPr>
        <w:t xml:space="preserve"> to date</w:t>
      </w:r>
      <w:r w:rsidRPr="00361492">
        <w:rPr>
          <w:rFonts w:eastAsia="Bliss 2 Regular" w:cs="Arial"/>
          <w:color w:val="0D0D0D"/>
        </w:rPr>
        <w:t xml:space="preserve"> up to </w:t>
      </w:r>
      <w:r>
        <w:rPr>
          <w:rFonts w:eastAsia="Bliss 2 Regular" w:cs="Arial"/>
          <w:color w:val="0D0D0D"/>
        </w:rPr>
        <w:t>29 November 2021</w:t>
      </w:r>
      <w:r w:rsidR="003B45AC">
        <w:rPr>
          <w:rFonts w:eastAsia="Bliss 2 Regular" w:cs="Arial"/>
          <w:color w:val="0D0D0D"/>
        </w:rPr>
        <w:t>.</w:t>
      </w:r>
    </w:p>
    <w:p w14:paraId="008EF875" w14:textId="77777777" w:rsidR="008D7E75" w:rsidRDefault="008D7E75" w:rsidP="008D7E75">
      <w:pPr>
        <w:jc w:val="both"/>
        <w:rPr>
          <w:rFonts w:eastAsia="Bliss 2 Regular" w:cs="Arial"/>
          <w:color w:val="0D0D0D"/>
        </w:rPr>
      </w:pPr>
    </w:p>
    <w:p w14:paraId="07DE5EEC" w14:textId="3AD1DCE1" w:rsidR="008D7E75" w:rsidRPr="004D0F06" w:rsidRDefault="008D7E75" w:rsidP="0036001B">
      <w:pPr>
        <w:pStyle w:val="ListParagraph"/>
        <w:numPr>
          <w:ilvl w:val="0"/>
          <w:numId w:val="29"/>
        </w:numPr>
        <w:ind w:left="0" w:hanging="567"/>
        <w:jc w:val="both"/>
        <w:rPr>
          <w:rFonts w:eastAsia="Bliss 2 Regular" w:cs="Arial"/>
          <w:color w:val="0D0D0D"/>
        </w:rPr>
      </w:pPr>
      <w:bookmarkStart w:id="4" w:name="_Hlk61276527"/>
      <w:bookmarkStart w:id="5" w:name="_Hlk88771598"/>
      <w:r w:rsidRPr="004D0F06">
        <w:rPr>
          <w:rFonts w:eastAsia="Bliss 2 Regular" w:cs="Arial"/>
          <w:color w:val="0D0D0D"/>
        </w:rPr>
        <w:lastRenderedPageBreak/>
        <w:t>The forecast outturn on borrowing costs is £</w:t>
      </w:r>
      <w:r w:rsidR="004D0F06" w:rsidRPr="004D0F06">
        <w:rPr>
          <w:rFonts w:eastAsia="Bliss 2 Regular" w:cs="Arial"/>
          <w:color w:val="0D0D0D"/>
        </w:rPr>
        <w:t>14.929m</w:t>
      </w:r>
      <w:r w:rsidRPr="004D0F06">
        <w:rPr>
          <w:rFonts w:eastAsia="Bliss 2 Regular" w:cs="Arial"/>
          <w:color w:val="0D0D0D"/>
        </w:rPr>
        <w:t>, a favourable variance of £</w:t>
      </w:r>
      <w:r w:rsidR="004D0F06" w:rsidRPr="004D0F06">
        <w:rPr>
          <w:rFonts w:eastAsia="Bliss 2 Regular" w:cs="Arial"/>
          <w:color w:val="0D0D0D"/>
        </w:rPr>
        <w:t>4.008</w:t>
      </w:r>
      <w:r w:rsidRPr="004D0F06">
        <w:rPr>
          <w:rFonts w:eastAsia="Bliss 2 Regular" w:cs="Arial"/>
          <w:color w:val="0D0D0D"/>
        </w:rPr>
        <w:t>m on the budget of £</w:t>
      </w:r>
      <w:r w:rsidR="004D0F06" w:rsidRPr="004D0F06">
        <w:rPr>
          <w:rFonts w:eastAsia="Bliss 2 Regular" w:cs="Arial"/>
          <w:color w:val="0D0D0D"/>
        </w:rPr>
        <w:t>18.937</w:t>
      </w:r>
      <w:r w:rsidRPr="004D0F06">
        <w:rPr>
          <w:rFonts w:eastAsia="Bliss 2 Regular" w:cs="Arial"/>
          <w:color w:val="0D0D0D"/>
        </w:rPr>
        <w:t>m</w:t>
      </w:r>
      <w:bookmarkEnd w:id="4"/>
      <w:r w:rsidR="00AA7F17" w:rsidRPr="004D0F06">
        <w:rPr>
          <w:rFonts w:eastAsia="Bliss 2 Regular" w:cs="Arial"/>
          <w:color w:val="0D0D0D"/>
        </w:rPr>
        <w:t>, reflecting the continued internal borrowing strategy</w:t>
      </w:r>
      <w:r w:rsidR="005D76E5" w:rsidRPr="004D0F06">
        <w:rPr>
          <w:rFonts w:eastAsia="Bliss 2 Regular" w:cs="Arial"/>
          <w:color w:val="0D0D0D"/>
        </w:rPr>
        <w:t xml:space="preserve"> adopted by the Authority</w:t>
      </w:r>
      <w:r w:rsidRPr="004D0F06">
        <w:rPr>
          <w:rFonts w:eastAsia="Bliss 2 Regular" w:cs="Arial"/>
          <w:color w:val="0D0D0D"/>
        </w:rPr>
        <w:t>.</w:t>
      </w:r>
      <w:r w:rsidR="004D0F06" w:rsidRPr="004D0F06">
        <w:rPr>
          <w:rFonts w:eastAsia="Bliss 2 Regular" w:cs="Arial"/>
          <w:color w:val="0D0D0D"/>
        </w:rPr>
        <w:t xml:space="preserve">  </w:t>
      </w:r>
    </w:p>
    <w:bookmarkEnd w:id="5"/>
    <w:bookmarkEnd w:id="3"/>
    <w:p w14:paraId="52503442" w14:textId="3918CC91" w:rsidR="002A59A4" w:rsidRDefault="002A59A4" w:rsidP="008D7E75">
      <w:pPr>
        <w:jc w:val="both"/>
        <w:rPr>
          <w:rFonts w:cs="Arial"/>
          <w:color w:val="000000"/>
          <w:szCs w:val="24"/>
        </w:rPr>
      </w:pPr>
    </w:p>
    <w:p w14:paraId="076CB7B6" w14:textId="6E586399" w:rsidR="001F520D" w:rsidRDefault="001F520D" w:rsidP="008D7E75">
      <w:pPr>
        <w:jc w:val="both"/>
        <w:rPr>
          <w:rFonts w:cs="Arial"/>
          <w:color w:val="000000"/>
          <w:szCs w:val="24"/>
        </w:rPr>
      </w:pPr>
      <w:r w:rsidRPr="00136B10">
        <w:rPr>
          <w:rFonts w:cs="Arial"/>
          <w:color w:val="000000"/>
          <w:szCs w:val="24"/>
        </w:rPr>
        <w:t>Table 7</w:t>
      </w:r>
    </w:p>
    <w:tbl>
      <w:tblPr>
        <w:tblW w:w="9800" w:type="dxa"/>
        <w:tblLook w:val="04A0" w:firstRow="1" w:lastRow="0" w:firstColumn="1" w:lastColumn="0" w:noHBand="0" w:noVBand="1"/>
      </w:tblPr>
      <w:tblGrid>
        <w:gridCol w:w="1923"/>
        <w:gridCol w:w="1282"/>
        <w:gridCol w:w="1273"/>
        <w:gridCol w:w="1273"/>
        <w:gridCol w:w="1281"/>
        <w:gridCol w:w="1273"/>
        <w:gridCol w:w="1273"/>
        <w:gridCol w:w="222"/>
      </w:tblGrid>
      <w:tr w:rsidR="002A59A4" w:rsidRPr="002A59A4" w14:paraId="782DDBD2" w14:textId="77777777" w:rsidTr="002A59A4">
        <w:trPr>
          <w:gridAfter w:val="1"/>
          <w:wAfter w:w="36" w:type="dxa"/>
          <w:trHeight w:val="315"/>
        </w:trPr>
        <w:tc>
          <w:tcPr>
            <w:tcW w:w="1991"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5339B6F3" w14:textId="77777777" w:rsidR="002A59A4" w:rsidRPr="002A59A4" w:rsidRDefault="002A59A4" w:rsidP="002A59A4">
            <w:pPr>
              <w:jc w:val="both"/>
              <w:rPr>
                <w:rFonts w:cs="Arial"/>
                <w:b/>
                <w:bCs/>
                <w:color w:val="000000"/>
                <w:sz w:val="22"/>
                <w:szCs w:val="22"/>
                <w:lang w:eastAsia="en-GB"/>
              </w:rPr>
            </w:pPr>
            <w:r w:rsidRPr="002A59A4">
              <w:rPr>
                <w:rFonts w:cs="Arial"/>
                <w:b/>
                <w:bCs/>
                <w:color w:val="000000"/>
                <w:sz w:val="22"/>
                <w:szCs w:val="22"/>
                <w:lang w:eastAsia="en-GB"/>
              </w:rPr>
              <w:t>Borrowing Portfolio</w:t>
            </w:r>
            <w:r w:rsidRPr="002A59A4">
              <w:rPr>
                <w:rFonts w:cs="Arial"/>
                <w:b/>
                <w:bCs/>
                <w:color w:val="000000"/>
                <w:sz w:val="22"/>
                <w:szCs w:val="22"/>
                <w:lang w:eastAsia="en-GB"/>
              </w:rPr>
              <w:br/>
              <w:t>£'000</w:t>
            </w:r>
          </w:p>
        </w:tc>
        <w:tc>
          <w:tcPr>
            <w:tcW w:w="3887" w:type="dxa"/>
            <w:gridSpan w:val="3"/>
            <w:tcBorders>
              <w:top w:val="single" w:sz="8" w:space="0" w:color="auto"/>
              <w:left w:val="nil"/>
              <w:bottom w:val="single" w:sz="8" w:space="0" w:color="auto"/>
              <w:right w:val="single" w:sz="8" w:space="0" w:color="000000"/>
            </w:tcBorders>
            <w:shd w:val="clear" w:color="000000" w:fill="B3B3B3"/>
            <w:vAlign w:val="center"/>
            <w:hideMark/>
          </w:tcPr>
          <w:p w14:paraId="682C6962" w14:textId="77777777" w:rsidR="002A59A4" w:rsidRPr="002A59A4" w:rsidRDefault="002A59A4" w:rsidP="002A59A4">
            <w:pPr>
              <w:jc w:val="center"/>
              <w:rPr>
                <w:rFonts w:cs="Arial"/>
                <w:b/>
                <w:bCs/>
                <w:color w:val="000000"/>
                <w:sz w:val="22"/>
                <w:szCs w:val="22"/>
                <w:lang w:eastAsia="en-GB"/>
              </w:rPr>
            </w:pPr>
            <w:r w:rsidRPr="002A59A4">
              <w:rPr>
                <w:rFonts w:cs="Arial"/>
                <w:b/>
                <w:bCs/>
                <w:color w:val="000000"/>
                <w:sz w:val="22"/>
                <w:szCs w:val="22"/>
                <w:lang w:eastAsia="en-GB"/>
              </w:rPr>
              <w:t>31-Mar-21</w:t>
            </w:r>
          </w:p>
        </w:tc>
        <w:tc>
          <w:tcPr>
            <w:tcW w:w="3886" w:type="dxa"/>
            <w:gridSpan w:val="3"/>
            <w:tcBorders>
              <w:top w:val="single" w:sz="8" w:space="0" w:color="auto"/>
              <w:left w:val="nil"/>
              <w:bottom w:val="single" w:sz="8" w:space="0" w:color="auto"/>
              <w:right w:val="single" w:sz="8" w:space="0" w:color="000000"/>
            </w:tcBorders>
            <w:shd w:val="clear" w:color="000000" w:fill="B3B3B3"/>
            <w:vAlign w:val="center"/>
            <w:hideMark/>
          </w:tcPr>
          <w:p w14:paraId="0AD3BE07" w14:textId="77777777" w:rsidR="002A59A4" w:rsidRPr="002A59A4" w:rsidRDefault="002A59A4" w:rsidP="002A59A4">
            <w:pPr>
              <w:jc w:val="center"/>
              <w:rPr>
                <w:rFonts w:cs="Arial"/>
                <w:b/>
                <w:bCs/>
                <w:color w:val="000000"/>
                <w:sz w:val="22"/>
                <w:szCs w:val="22"/>
                <w:lang w:eastAsia="en-GB"/>
              </w:rPr>
            </w:pPr>
            <w:r w:rsidRPr="002A59A4">
              <w:rPr>
                <w:rFonts w:cs="Arial"/>
                <w:b/>
                <w:bCs/>
                <w:color w:val="000000"/>
                <w:sz w:val="22"/>
                <w:szCs w:val="22"/>
                <w:lang w:eastAsia="en-GB"/>
              </w:rPr>
              <w:t>30-Sep-21</w:t>
            </w:r>
          </w:p>
        </w:tc>
      </w:tr>
      <w:tr w:rsidR="002A59A4" w:rsidRPr="002A59A4" w14:paraId="41537CE4" w14:textId="77777777" w:rsidTr="002A59A4">
        <w:trPr>
          <w:gridAfter w:val="1"/>
          <w:wAfter w:w="36" w:type="dxa"/>
          <w:trHeight w:val="300"/>
        </w:trPr>
        <w:tc>
          <w:tcPr>
            <w:tcW w:w="1991" w:type="dxa"/>
            <w:vMerge/>
            <w:tcBorders>
              <w:top w:val="single" w:sz="8" w:space="0" w:color="auto"/>
              <w:left w:val="single" w:sz="8" w:space="0" w:color="auto"/>
              <w:bottom w:val="single" w:sz="8" w:space="0" w:color="000000"/>
              <w:right w:val="single" w:sz="8" w:space="0" w:color="auto"/>
            </w:tcBorders>
            <w:vAlign w:val="center"/>
            <w:hideMark/>
          </w:tcPr>
          <w:p w14:paraId="1256F9DC" w14:textId="77777777" w:rsidR="002A59A4" w:rsidRPr="002A59A4" w:rsidRDefault="002A59A4" w:rsidP="002A59A4">
            <w:pPr>
              <w:rPr>
                <w:rFonts w:cs="Arial"/>
                <w:b/>
                <w:bCs/>
                <w:color w:val="000000"/>
                <w:sz w:val="22"/>
                <w:szCs w:val="22"/>
                <w:lang w:eastAsia="en-GB"/>
              </w:rPr>
            </w:pPr>
          </w:p>
        </w:tc>
        <w:tc>
          <w:tcPr>
            <w:tcW w:w="1297"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2DBC160F" w14:textId="77777777" w:rsidR="002A59A4" w:rsidRPr="002A59A4" w:rsidRDefault="002A59A4" w:rsidP="002A59A4">
            <w:pPr>
              <w:jc w:val="center"/>
              <w:rPr>
                <w:rFonts w:cs="Arial"/>
                <w:b/>
                <w:bCs/>
                <w:color w:val="000000"/>
                <w:sz w:val="22"/>
                <w:szCs w:val="22"/>
                <w:lang w:eastAsia="en-GB"/>
              </w:rPr>
            </w:pPr>
            <w:r w:rsidRPr="002A59A4">
              <w:rPr>
                <w:rFonts w:cs="Arial"/>
                <w:b/>
                <w:bCs/>
                <w:color w:val="000000"/>
                <w:sz w:val="22"/>
                <w:szCs w:val="22"/>
                <w:lang w:eastAsia="en-GB"/>
              </w:rPr>
              <w:t>Principal</w:t>
            </w:r>
          </w:p>
        </w:tc>
        <w:tc>
          <w:tcPr>
            <w:tcW w:w="1295"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23A70C93" w14:textId="77777777" w:rsidR="002A59A4" w:rsidRPr="002A59A4" w:rsidRDefault="002A59A4" w:rsidP="002A59A4">
            <w:pPr>
              <w:jc w:val="center"/>
              <w:rPr>
                <w:rFonts w:cs="Arial"/>
                <w:b/>
                <w:bCs/>
                <w:color w:val="000000"/>
                <w:sz w:val="22"/>
                <w:szCs w:val="22"/>
                <w:lang w:eastAsia="en-GB"/>
              </w:rPr>
            </w:pPr>
            <w:r w:rsidRPr="002A59A4">
              <w:rPr>
                <w:rFonts w:cs="Arial"/>
                <w:b/>
                <w:bCs/>
                <w:color w:val="000000"/>
                <w:sz w:val="22"/>
                <w:szCs w:val="22"/>
                <w:lang w:eastAsia="en-GB"/>
              </w:rPr>
              <w:t>Average Rate (%)</w:t>
            </w:r>
          </w:p>
        </w:tc>
        <w:tc>
          <w:tcPr>
            <w:tcW w:w="1295"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5A9A360C" w14:textId="77777777" w:rsidR="002A59A4" w:rsidRPr="002A59A4" w:rsidRDefault="002A59A4" w:rsidP="002A59A4">
            <w:pPr>
              <w:jc w:val="center"/>
              <w:rPr>
                <w:rFonts w:cs="Arial"/>
                <w:b/>
                <w:bCs/>
                <w:color w:val="000000"/>
                <w:sz w:val="22"/>
                <w:szCs w:val="22"/>
                <w:lang w:eastAsia="en-GB"/>
              </w:rPr>
            </w:pPr>
            <w:r w:rsidRPr="002A59A4">
              <w:rPr>
                <w:rFonts w:cs="Arial"/>
                <w:b/>
                <w:bCs/>
                <w:color w:val="000000"/>
                <w:sz w:val="22"/>
                <w:szCs w:val="22"/>
                <w:lang w:eastAsia="en-GB"/>
              </w:rPr>
              <w:t>Average Life (yrs)</w:t>
            </w:r>
          </w:p>
        </w:tc>
        <w:tc>
          <w:tcPr>
            <w:tcW w:w="1296"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6918519C" w14:textId="77777777" w:rsidR="002A59A4" w:rsidRPr="002A59A4" w:rsidRDefault="002A59A4" w:rsidP="002A59A4">
            <w:pPr>
              <w:jc w:val="center"/>
              <w:rPr>
                <w:rFonts w:cs="Arial"/>
                <w:b/>
                <w:bCs/>
                <w:color w:val="000000"/>
                <w:sz w:val="22"/>
                <w:szCs w:val="22"/>
                <w:lang w:eastAsia="en-GB"/>
              </w:rPr>
            </w:pPr>
            <w:r w:rsidRPr="002A59A4">
              <w:rPr>
                <w:rFonts w:cs="Arial"/>
                <w:b/>
                <w:bCs/>
                <w:color w:val="000000"/>
                <w:sz w:val="22"/>
                <w:szCs w:val="22"/>
                <w:lang w:eastAsia="en-GB"/>
              </w:rPr>
              <w:t>Principal</w:t>
            </w:r>
          </w:p>
        </w:tc>
        <w:tc>
          <w:tcPr>
            <w:tcW w:w="1295"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64FFB30C" w14:textId="77777777" w:rsidR="002A59A4" w:rsidRPr="002A59A4" w:rsidRDefault="002A59A4" w:rsidP="002A59A4">
            <w:pPr>
              <w:jc w:val="center"/>
              <w:rPr>
                <w:rFonts w:cs="Arial"/>
                <w:b/>
                <w:bCs/>
                <w:color w:val="000000"/>
                <w:sz w:val="22"/>
                <w:szCs w:val="22"/>
                <w:lang w:eastAsia="en-GB"/>
              </w:rPr>
            </w:pPr>
            <w:r w:rsidRPr="002A59A4">
              <w:rPr>
                <w:rFonts w:cs="Arial"/>
                <w:b/>
                <w:bCs/>
                <w:color w:val="000000"/>
                <w:sz w:val="22"/>
                <w:szCs w:val="22"/>
                <w:lang w:eastAsia="en-GB"/>
              </w:rPr>
              <w:t>Average Rate (%)</w:t>
            </w:r>
          </w:p>
        </w:tc>
        <w:tc>
          <w:tcPr>
            <w:tcW w:w="1295"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4084CA59" w14:textId="77777777" w:rsidR="002A59A4" w:rsidRPr="002A59A4" w:rsidRDefault="002A59A4" w:rsidP="002A59A4">
            <w:pPr>
              <w:jc w:val="center"/>
              <w:rPr>
                <w:rFonts w:cs="Arial"/>
                <w:b/>
                <w:bCs/>
                <w:color w:val="000000"/>
                <w:sz w:val="22"/>
                <w:szCs w:val="22"/>
                <w:lang w:eastAsia="en-GB"/>
              </w:rPr>
            </w:pPr>
            <w:r w:rsidRPr="002A59A4">
              <w:rPr>
                <w:rFonts w:cs="Arial"/>
                <w:b/>
                <w:bCs/>
                <w:color w:val="000000"/>
                <w:sz w:val="22"/>
                <w:szCs w:val="22"/>
                <w:lang w:eastAsia="en-GB"/>
              </w:rPr>
              <w:t>Average Life (yrs)</w:t>
            </w:r>
          </w:p>
        </w:tc>
      </w:tr>
      <w:tr w:rsidR="002A59A4" w:rsidRPr="002A59A4" w14:paraId="0E0A670A" w14:textId="77777777" w:rsidTr="002A59A4">
        <w:trPr>
          <w:trHeight w:val="315"/>
        </w:trPr>
        <w:tc>
          <w:tcPr>
            <w:tcW w:w="1991" w:type="dxa"/>
            <w:vMerge/>
            <w:tcBorders>
              <w:top w:val="single" w:sz="8" w:space="0" w:color="auto"/>
              <w:left w:val="single" w:sz="8" w:space="0" w:color="auto"/>
              <w:bottom w:val="single" w:sz="8" w:space="0" w:color="000000"/>
              <w:right w:val="single" w:sz="8" w:space="0" w:color="auto"/>
            </w:tcBorders>
            <w:vAlign w:val="center"/>
            <w:hideMark/>
          </w:tcPr>
          <w:p w14:paraId="3AEB1863" w14:textId="77777777" w:rsidR="002A59A4" w:rsidRPr="002A59A4" w:rsidRDefault="002A59A4" w:rsidP="002A59A4">
            <w:pPr>
              <w:rPr>
                <w:rFonts w:cs="Arial"/>
                <w:b/>
                <w:bCs/>
                <w:color w:val="000000"/>
                <w:sz w:val="22"/>
                <w:szCs w:val="22"/>
                <w:lang w:eastAsia="en-GB"/>
              </w:rPr>
            </w:pPr>
          </w:p>
        </w:tc>
        <w:tc>
          <w:tcPr>
            <w:tcW w:w="1297" w:type="dxa"/>
            <w:vMerge/>
            <w:tcBorders>
              <w:top w:val="nil"/>
              <w:left w:val="single" w:sz="8" w:space="0" w:color="auto"/>
              <w:bottom w:val="single" w:sz="8" w:space="0" w:color="000000"/>
              <w:right w:val="single" w:sz="8" w:space="0" w:color="auto"/>
            </w:tcBorders>
            <w:vAlign w:val="center"/>
            <w:hideMark/>
          </w:tcPr>
          <w:p w14:paraId="68135478" w14:textId="77777777" w:rsidR="002A59A4" w:rsidRPr="002A59A4" w:rsidRDefault="002A59A4" w:rsidP="002A59A4">
            <w:pPr>
              <w:rPr>
                <w:rFonts w:cs="Arial"/>
                <w:b/>
                <w:bCs/>
                <w:color w:val="000000"/>
                <w:sz w:val="22"/>
                <w:szCs w:val="22"/>
                <w:lang w:eastAsia="en-GB"/>
              </w:rPr>
            </w:pPr>
          </w:p>
        </w:tc>
        <w:tc>
          <w:tcPr>
            <w:tcW w:w="1295" w:type="dxa"/>
            <w:vMerge/>
            <w:tcBorders>
              <w:top w:val="nil"/>
              <w:left w:val="single" w:sz="8" w:space="0" w:color="auto"/>
              <w:bottom w:val="single" w:sz="8" w:space="0" w:color="000000"/>
              <w:right w:val="single" w:sz="8" w:space="0" w:color="auto"/>
            </w:tcBorders>
            <w:vAlign w:val="center"/>
            <w:hideMark/>
          </w:tcPr>
          <w:p w14:paraId="489C7CE0" w14:textId="77777777" w:rsidR="002A59A4" w:rsidRPr="002A59A4" w:rsidRDefault="002A59A4" w:rsidP="002A59A4">
            <w:pPr>
              <w:rPr>
                <w:rFonts w:cs="Arial"/>
                <w:b/>
                <w:bCs/>
                <w:color w:val="000000"/>
                <w:sz w:val="22"/>
                <w:szCs w:val="22"/>
                <w:lang w:eastAsia="en-GB"/>
              </w:rPr>
            </w:pPr>
          </w:p>
        </w:tc>
        <w:tc>
          <w:tcPr>
            <w:tcW w:w="1295" w:type="dxa"/>
            <w:vMerge/>
            <w:tcBorders>
              <w:top w:val="nil"/>
              <w:left w:val="single" w:sz="8" w:space="0" w:color="auto"/>
              <w:bottom w:val="single" w:sz="8" w:space="0" w:color="000000"/>
              <w:right w:val="single" w:sz="8" w:space="0" w:color="auto"/>
            </w:tcBorders>
            <w:vAlign w:val="center"/>
            <w:hideMark/>
          </w:tcPr>
          <w:p w14:paraId="366F6BD3" w14:textId="77777777" w:rsidR="002A59A4" w:rsidRPr="002A59A4" w:rsidRDefault="002A59A4" w:rsidP="002A59A4">
            <w:pPr>
              <w:rPr>
                <w:rFonts w:cs="Arial"/>
                <w:b/>
                <w:bCs/>
                <w:color w:val="000000"/>
                <w:sz w:val="22"/>
                <w:szCs w:val="22"/>
                <w:lang w:eastAsia="en-GB"/>
              </w:rPr>
            </w:pPr>
          </w:p>
        </w:tc>
        <w:tc>
          <w:tcPr>
            <w:tcW w:w="1296" w:type="dxa"/>
            <w:vMerge/>
            <w:tcBorders>
              <w:top w:val="nil"/>
              <w:left w:val="single" w:sz="8" w:space="0" w:color="auto"/>
              <w:bottom w:val="single" w:sz="8" w:space="0" w:color="000000"/>
              <w:right w:val="single" w:sz="8" w:space="0" w:color="auto"/>
            </w:tcBorders>
            <w:vAlign w:val="center"/>
            <w:hideMark/>
          </w:tcPr>
          <w:p w14:paraId="6B885E4F" w14:textId="77777777" w:rsidR="002A59A4" w:rsidRPr="002A59A4" w:rsidRDefault="002A59A4" w:rsidP="002A59A4">
            <w:pPr>
              <w:rPr>
                <w:rFonts w:cs="Arial"/>
                <w:b/>
                <w:bCs/>
                <w:color w:val="000000"/>
                <w:sz w:val="22"/>
                <w:szCs w:val="22"/>
                <w:lang w:eastAsia="en-GB"/>
              </w:rPr>
            </w:pPr>
          </w:p>
        </w:tc>
        <w:tc>
          <w:tcPr>
            <w:tcW w:w="1295" w:type="dxa"/>
            <w:vMerge/>
            <w:tcBorders>
              <w:top w:val="nil"/>
              <w:left w:val="single" w:sz="8" w:space="0" w:color="auto"/>
              <w:bottom w:val="single" w:sz="8" w:space="0" w:color="000000"/>
              <w:right w:val="single" w:sz="8" w:space="0" w:color="auto"/>
            </w:tcBorders>
            <w:vAlign w:val="center"/>
            <w:hideMark/>
          </w:tcPr>
          <w:p w14:paraId="6996E2AD" w14:textId="77777777" w:rsidR="002A59A4" w:rsidRPr="002A59A4" w:rsidRDefault="002A59A4" w:rsidP="002A59A4">
            <w:pPr>
              <w:rPr>
                <w:rFonts w:cs="Arial"/>
                <w:b/>
                <w:bCs/>
                <w:color w:val="000000"/>
                <w:sz w:val="22"/>
                <w:szCs w:val="22"/>
                <w:lang w:eastAsia="en-GB"/>
              </w:rPr>
            </w:pPr>
          </w:p>
        </w:tc>
        <w:tc>
          <w:tcPr>
            <w:tcW w:w="1295" w:type="dxa"/>
            <w:vMerge/>
            <w:tcBorders>
              <w:top w:val="nil"/>
              <w:left w:val="single" w:sz="8" w:space="0" w:color="auto"/>
              <w:bottom w:val="single" w:sz="8" w:space="0" w:color="000000"/>
              <w:right w:val="single" w:sz="8" w:space="0" w:color="auto"/>
            </w:tcBorders>
            <w:vAlign w:val="center"/>
            <w:hideMark/>
          </w:tcPr>
          <w:p w14:paraId="5C82E8ED" w14:textId="77777777" w:rsidR="002A59A4" w:rsidRPr="002A59A4" w:rsidRDefault="002A59A4" w:rsidP="002A59A4">
            <w:pPr>
              <w:rPr>
                <w:rFonts w:cs="Arial"/>
                <w:b/>
                <w:bCs/>
                <w:color w:val="000000"/>
                <w:sz w:val="22"/>
                <w:szCs w:val="22"/>
                <w:lang w:eastAsia="en-GB"/>
              </w:rPr>
            </w:pPr>
          </w:p>
        </w:tc>
        <w:tc>
          <w:tcPr>
            <w:tcW w:w="36" w:type="dxa"/>
            <w:tcBorders>
              <w:top w:val="nil"/>
              <w:left w:val="nil"/>
              <w:bottom w:val="nil"/>
              <w:right w:val="nil"/>
            </w:tcBorders>
            <w:shd w:val="clear" w:color="auto" w:fill="auto"/>
            <w:noWrap/>
            <w:vAlign w:val="bottom"/>
            <w:hideMark/>
          </w:tcPr>
          <w:p w14:paraId="252EC363" w14:textId="77777777" w:rsidR="002A59A4" w:rsidRPr="002A59A4" w:rsidRDefault="002A59A4" w:rsidP="002A59A4">
            <w:pPr>
              <w:jc w:val="center"/>
              <w:rPr>
                <w:rFonts w:cs="Arial"/>
                <w:b/>
                <w:bCs/>
                <w:color w:val="000000"/>
                <w:sz w:val="22"/>
                <w:szCs w:val="22"/>
                <w:lang w:eastAsia="en-GB"/>
              </w:rPr>
            </w:pPr>
          </w:p>
        </w:tc>
      </w:tr>
      <w:tr w:rsidR="002A59A4" w:rsidRPr="002A59A4" w14:paraId="289BCDB1" w14:textId="77777777" w:rsidTr="002A59A4">
        <w:trPr>
          <w:trHeight w:val="300"/>
        </w:trPr>
        <w:tc>
          <w:tcPr>
            <w:tcW w:w="199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01F9558" w14:textId="77777777" w:rsidR="002A59A4" w:rsidRPr="002A59A4" w:rsidRDefault="002A59A4" w:rsidP="002A59A4">
            <w:pPr>
              <w:jc w:val="both"/>
              <w:rPr>
                <w:rFonts w:cs="Arial"/>
                <w:color w:val="000000"/>
                <w:sz w:val="22"/>
                <w:szCs w:val="22"/>
                <w:lang w:eastAsia="en-GB"/>
              </w:rPr>
            </w:pPr>
            <w:r w:rsidRPr="002A59A4">
              <w:rPr>
                <w:rFonts w:cs="Arial"/>
                <w:color w:val="000000"/>
                <w:sz w:val="22"/>
                <w:szCs w:val="22"/>
                <w:lang w:eastAsia="en-GB"/>
              </w:rPr>
              <w:t>- PWLB</w:t>
            </w:r>
          </w:p>
        </w:tc>
        <w:tc>
          <w:tcPr>
            <w:tcW w:w="1297" w:type="dxa"/>
            <w:tcBorders>
              <w:top w:val="single" w:sz="4" w:space="0" w:color="auto"/>
              <w:left w:val="nil"/>
              <w:bottom w:val="single" w:sz="4" w:space="0" w:color="auto"/>
              <w:right w:val="single" w:sz="8" w:space="0" w:color="auto"/>
            </w:tcBorders>
            <w:shd w:val="clear" w:color="000000" w:fill="FFFFFF"/>
            <w:vAlign w:val="center"/>
            <w:hideMark/>
          </w:tcPr>
          <w:p w14:paraId="16B118FA"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348,461</w:t>
            </w:r>
          </w:p>
        </w:tc>
        <w:tc>
          <w:tcPr>
            <w:tcW w:w="1295" w:type="dxa"/>
            <w:tcBorders>
              <w:top w:val="single" w:sz="4" w:space="0" w:color="auto"/>
              <w:left w:val="nil"/>
              <w:bottom w:val="single" w:sz="4" w:space="0" w:color="auto"/>
              <w:right w:val="single" w:sz="8" w:space="0" w:color="auto"/>
            </w:tcBorders>
            <w:shd w:val="clear" w:color="000000" w:fill="FFFFFF"/>
            <w:vAlign w:val="center"/>
            <w:hideMark/>
          </w:tcPr>
          <w:p w14:paraId="2317F7A7"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3.45%</w:t>
            </w:r>
          </w:p>
        </w:tc>
        <w:tc>
          <w:tcPr>
            <w:tcW w:w="1295" w:type="dxa"/>
            <w:tcBorders>
              <w:top w:val="single" w:sz="4" w:space="0" w:color="auto"/>
              <w:left w:val="nil"/>
              <w:bottom w:val="single" w:sz="4" w:space="0" w:color="auto"/>
              <w:right w:val="single" w:sz="8" w:space="0" w:color="auto"/>
            </w:tcBorders>
            <w:shd w:val="clear" w:color="000000" w:fill="FFFFFF"/>
            <w:vAlign w:val="center"/>
            <w:hideMark/>
          </w:tcPr>
          <w:p w14:paraId="69848A6C"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36.0</w:t>
            </w:r>
          </w:p>
        </w:tc>
        <w:tc>
          <w:tcPr>
            <w:tcW w:w="1296" w:type="dxa"/>
            <w:tcBorders>
              <w:top w:val="single" w:sz="4" w:space="0" w:color="auto"/>
              <w:left w:val="nil"/>
              <w:bottom w:val="single" w:sz="4" w:space="0" w:color="auto"/>
              <w:right w:val="single" w:sz="8" w:space="0" w:color="auto"/>
            </w:tcBorders>
            <w:shd w:val="clear" w:color="000000" w:fill="FFFFFF"/>
            <w:vAlign w:val="center"/>
            <w:hideMark/>
          </w:tcPr>
          <w:p w14:paraId="1CBF3963"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348,461</w:t>
            </w:r>
          </w:p>
        </w:tc>
        <w:tc>
          <w:tcPr>
            <w:tcW w:w="1295" w:type="dxa"/>
            <w:tcBorders>
              <w:top w:val="single" w:sz="4" w:space="0" w:color="auto"/>
              <w:left w:val="nil"/>
              <w:bottom w:val="single" w:sz="4" w:space="0" w:color="auto"/>
              <w:right w:val="single" w:sz="8" w:space="0" w:color="auto"/>
            </w:tcBorders>
            <w:shd w:val="clear" w:color="000000" w:fill="FFFFFF"/>
            <w:vAlign w:val="center"/>
            <w:hideMark/>
          </w:tcPr>
          <w:p w14:paraId="6F0950DF"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3.45%</w:t>
            </w:r>
          </w:p>
        </w:tc>
        <w:tc>
          <w:tcPr>
            <w:tcW w:w="1295" w:type="dxa"/>
            <w:tcBorders>
              <w:top w:val="single" w:sz="4" w:space="0" w:color="auto"/>
              <w:left w:val="nil"/>
              <w:bottom w:val="single" w:sz="4" w:space="0" w:color="auto"/>
              <w:right w:val="single" w:sz="8" w:space="0" w:color="auto"/>
            </w:tcBorders>
            <w:shd w:val="clear" w:color="000000" w:fill="FFFFFF"/>
            <w:vAlign w:val="center"/>
            <w:hideMark/>
          </w:tcPr>
          <w:p w14:paraId="537066E8"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35.5</w:t>
            </w:r>
          </w:p>
        </w:tc>
        <w:tc>
          <w:tcPr>
            <w:tcW w:w="36" w:type="dxa"/>
            <w:vAlign w:val="center"/>
            <w:hideMark/>
          </w:tcPr>
          <w:p w14:paraId="1A28C1B4" w14:textId="77777777" w:rsidR="002A59A4" w:rsidRPr="002A59A4" w:rsidRDefault="002A59A4" w:rsidP="002A59A4">
            <w:pPr>
              <w:rPr>
                <w:rFonts w:ascii="Times New Roman" w:hAnsi="Times New Roman"/>
                <w:sz w:val="20"/>
                <w:lang w:eastAsia="en-GB"/>
              </w:rPr>
            </w:pPr>
          </w:p>
        </w:tc>
      </w:tr>
      <w:tr w:rsidR="002A59A4" w:rsidRPr="002A59A4" w14:paraId="27DF7252" w14:textId="77777777" w:rsidTr="002A59A4">
        <w:trPr>
          <w:trHeight w:val="315"/>
        </w:trPr>
        <w:tc>
          <w:tcPr>
            <w:tcW w:w="1991" w:type="dxa"/>
            <w:tcBorders>
              <w:top w:val="nil"/>
              <w:left w:val="single" w:sz="8" w:space="0" w:color="auto"/>
              <w:bottom w:val="single" w:sz="4" w:space="0" w:color="auto"/>
              <w:right w:val="single" w:sz="8" w:space="0" w:color="auto"/>
            </w:tcBorders>
            <w:shd w:val="clear" w:color="auto" w:fill="auto"/>
            <w:vAlign w:val="center"/>
            <w:hideMark/>
          </w:tcPr>
          <w:p w14:paraId="7C2EB4B9" w14:textId="77777777" w:rsidR="002A59A4" w:rsidRPr="002A59A4" w:rsidRDefault="002A59A4" w:rsidP="002A59A4">
            <w:pPr>
              <w:jc w:val="both"/>
              <w:rPr>
                <w:rFonts w:cs="Arial"/>
                <w:color w:val="000000"/>
                <w:sz w:val="22"/>
                <w:szCs w:val="22"/>
                <w:lang w:eastAsia="en-GB"/>
              </w:rPr>
            </w:pPr>
            <w:r w:rsidRPr="002A59A4">
              <w:rPr>
                <w:rFonts w:cs="Arial"/>
                <w:color w:val="000000"/>
                <w:sz w:val="22"/>
                <w:szCs w:val="22"/>
                <w:lang w:eastAsia="en-GB"/>
              </w:rPr>
              <w:t>- Market</w:t>
            </w:r>
          </w:p>
        </w:tc>
        <w:tc>
          <w:tcPr>
            <w:tcW w:w="1297" w:type="dxa"/>
            <w:tcBorders>
              <w:top w:val="nil"/>
              <w:left w:val="nil"/>
              <w:bottom w:val="single" w:sz="4" w:space="0" w:color="auto"/>
              <w:right w:val="single" w:sz="8" w:space="0" w:color="auto"/>
            </w:tcBorders>
            <w:shd w:val="clear" w:color="000000" w:fill="FFFFFF"/>
            <w:vAlign w:val="center"/>
            <w:hideMark/>
          </w:tcPr>
          <w:p w14:paraId="26D80A9B"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73,800</w:t>
            </w:r>
          </w:p>
        </w:tc>
        <w:tc>
          <w:tcPr>
            <w:tcW w:w="1295" w:type="dxa"/>
            <w:tcBorders>
              <w:top w:val="nil"/>
              <w:left w:val="nil"/>
              <w:bottom w:val="single" w:sz="4" w:space="0" w:color="auto"/>
              <w:right w:val="single" w:sz="8" w:space="0" w:color="auto"/>
            </w:tcBorders>
            <w:shd w:val="clear" w:color="000000" w:fill="FFFFFF"/>
            <w:vAlign w:val="center"/>
            <w:hideMark/>
          </w:tcPr>
          <w:p w14:paraId="491B9747"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3.53%</w:t>
            </w:r>
          </w:p>
        </w:tc>
        <w:tc>
          <w:tcPr>
            <w:tcW w:w="1295" w:type="dxa"/>
            <w:tcBorders>
              <w:top w:val="nil"/>
              <w:left w:val="nil"/>
              <w:bottom w:val="single" w:sz="4" w:space="0" w:color="auto"/>
              <w:right w:val="single" w:sz="8" w:space="0" w:color="auto"/>
            </w:tcBorders>
            <w:shd w:val="clear" w:color="000000" w:fill="FFFFFF"/>
            <w:vAlign w:val="center"/>
            <w:hideMark/>
          </w:tcPr>
          <w:p w14:paraId="428756C2"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41.7</w:t>
            </w:r>
          </w:p>
        </w:tc>
        <w:tc>
          <w:tcPr>
            <w:tcW w:w="1296" w:type="dxa"/>
            <w:tcBorders>
              <w:top w:val="nil"/>
              <w:left w:val="nil"/>
              <w:bottom w:val="single" w:sz="4" w:space="0" w:color="auto"/>
              <w:right w:val="single" w:sz="8" w:space="0" w:color="auto"/>
            </w:tcBorders>
            <w:shd w:val="clear" w:color="000000" w:fill="FFFFFF"/>
            <w:vAlign w:val="center"/>
            <w:hideMark/>
          </w:tcPr>
          <w:p w14:paraId="5D1833C1"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73,800</w:t>
            </w:r>
          </w:p>
        </w:tc>
        <w:tc>
          <w:tcPr>
            <w:tcW w:w="1295" w:type="dxa"/>
            <w:tcBorders>
              <w:top w:val="nil"/>
              <w:left w:val="nil"/>
              <w:bottom w:val="single" w:sz="4" w:space="0" w:color="auto"/>
              <w:right w:val="single" w:sz="8" w:space="0" w:color="auto"/>
            </w:tcBorders>
            <w:shd w:val="clear" w:color="000000" w:fill="FFFFFF"/>
            <w:vAlign w:val="center"/>
            <w:hideMark/>
          </w:tcPr>
          <w:p w14:paraId="048666CE"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3.53%</w:t>
            </w:r>
          </w:p>
        </w:tc>
        <w:tc>
          <w:tcPr>
            <w:tcW w:w="1295" w:type="dxa"/>
            <w:tcBorders>
              <w:top w:val="nil"/>
              <w:left w:val="nil"/>
              <w:bottom w:val="single" w:sz="4" w:space="0" w:color="auto"/>
              <w:right w:val="single" w:sz="8" w:space="0" w:color="auto"/>
            </w:tcBorders>
            <w:shd w:val="clear" w:color="000000" w:fill="FFFFFF"/>
            <w:vAlign w:val="center"/>
            <w:hideMark/>
          </w:tcPr>
          <w:p w14:paraId="3322B1B2"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41.2</w:t>
            </w:r>
          </w:p>
        </w:tc>
        <w:tc>
          <w:tcPr>
            <w:tcW w:w="36" w:type="dxa"/>
            <w:vAlign w:val="center"/>
            <w:hideMark/>
          </w:tcPr>
          <w:p w14:paraId="5507D0BB" w14:textId="77777777" w:rsidR="002A59A4" w:rsidRPr="002A59A4" w:rsidRDefault="002A59A4" w:rsidP="002A59A4">
            <w:pPr>
              <w:rPr>
                <w:rFonts w:ascii="Times New Roman" w:hAnsi="Times New Roman"/>
                <w:sz w:val="20"/>
                <w:lang w:eastAsia="en-GB"/>
              </w:rPr>
            </w:pPr>
          </w:p>
        </w:tc>
      </w:tr>
      <w:tr w:rsidR="002A59A4" w:rsidRPr="002A59A4" w14:paraId="6C9A2DCD" w14:textId="77777777" w:rsidTr="002A59A4">
        <w:trPr>
          <w:trHeight w:val="315"/>
        </w:trPr>
        <w:tc>
          <w:tcPr>
            <w:tcW w:w="1991" w:type="dxa"/>
            <w:tcBorders>
              <w:top w:val="nil"/>
              <w:left w:val="single" w:sz="8" w:space="0" w:color="auto"/>
              <w:bottom w:val="single" w:sz="8" w:space="0" w:color="auto"/>
              <w:right w:val="single" w:sz="8" w:space="0" w:color="auto"/>
            </w:tcBorders>
            <w:shd w:val="clear" w:color="auto" w:fill="auto"/>
            <w:vAlign w:val="center"/>
            <w:hideMark/>
          </w:tcPr>
          <w:p w14:paraId="42318C34" w14:textId="77777777" w:rsidR="002A59A4" w:rsidRPr="002A59A4" w:rsidRDefault="002A59A4" w:rsidP="002A59A4">
            <w:pPr>
              <w:jc w:val="both"/>
              <w:rPr>
                <w:rFonts w:cs="Arial"/>
                <w:color w:val="000000"/>
                <w:sz w:val="22"/>
                <w:szCs w:val="22"/>
                <w:lang w:eastAsia="en-GB"/>
              </w:rPr>
            </w:pPr>
            <w:r w:rsidRPr="002A59A4">
              <w:rPr>
                <w:rFonts w:cs="Arial"/>
                <w:color w:val="000000"/>
                <w:sz w:val="22"/>
                <w:szCs w:val="22"/>
                <w:lang w:eastAsia="en-GB"/>
              </w:rPr>
              <w:t>Total borrowing</w:t>
            </w:r>
          </w:p>
        </w:tc>
        <w:tc>
          <w:tcPr>
            <w:tcW w:w="1297" w:type="dxa"/>
            <w:tcBorders>
              <w:top w:val="nil"/>
              <w:left w:val="nil"/>
              <w:bottom w:val="single" w:sz="8" w:space="0" w:color="auto"/>
              <w:right w:val="single" w:sz="8" w:space="0" w:color="auto"/>
            </w:tcBorders>
            <w:shd w:val="clear" w:color="000000" w:fill="FFFFFF"/>
            <w:vAlign w:val="center"/>
            <w:hideMark/>
          </w:tcPr>
          <w:p w14:paraId="01DC8D9F"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422,261</w:t>
            </w:r>
          </w:p>
        </w:tc>
        <w:tc>
          <w:tcPr>
            <w:tcW w:w="1295" w:type="dxa"/>
            <w:tcBorders>
              <w:top w:val="nil"/>
              <w:left w:val="nil"/>
              <w:bottom w:val="single" w:sz="8" w:space="0" w:color="auto"/>
              <w:right w:val="single" w:sz="8" w:space="0" w:color="auto"/>
            </w:tcBorders>
            <w:shd w:val="clear" w:color="000000" w:fill="FFFFFF"/>
            <w:vAlign w:val="center"/>
            <w:hideMark/>
          </w:tcPr>
          <w:p w14:paraId="0531C15E"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3.46%</w:t>
            </w:r>
          </w:p>
        </w:tc>
        <w:tc>
          <w:tcPr>
            <w:tcW w:w="1295" w:type="dxa"/>
            <w:tcBorders>
              <w:top w:val="nil"/>
              <w:left w:val="nil"/>
              <w:bottom w:val="single" w:sz="8" w:space="0" w:color="auto"/>
              <w:right w:val="single" w:sz="8" w:space="0" w:color="auto"/>
            </w:tcBorders>
            <w:shd w:val="clear" w:color="000000" w:fill="FFFFFF"/>
            <w:vAlign w:val="center"/>
            <w:hideMark/>
          </w:tcPr>
          <w:p w14:paraId="60D3D3E5"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37.0</w:t>
            </w:r>
          </w:p>
        </w:tc>
        <w:tc>
          <w:tcPr>
            <w:tcW w:w="1296" w:type="dxa"/>
            <w:tcBorders>
              <w:top w:val="nil"/>
              <w:left w:val="nil"/>
              <w:bottom w:val="single" w:sz="8" w:space="0" w:color="auto"/>
              <w:right w:val="single" w:sz="8" w:space="0" w:color="auto"/>
            </w:tcBorders>
            <w:shd w:val="clear" w:color="000000" w:fill="FFFFFF"/>
            <w:vAlign w:val="center"/>
            <w:hideMark/>
          </w:tcPr>
          <w:p w14:paraId="3974D11F"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422,261</w:t>
            </w:r>
          </w:p>
        </w:tc>
        <w:tc>
          <w:tcPr>
            <w:tcW w:w="1295" w:type="dxa"/>
            <w:tcBorders>
              <w:top w:val="nil"/>
              <w:left w:val="nil"/>
              <w:bottom w:val="single" w:sz="8" w:space="0" w:color="auto"/>
              <w:right w:val="single" w:sz="8" w:space="0" w:color="auto"/>
            </w:tcBorders>
            <w:shd w:val="clear" w:color="000000" w:fill="FFFFFF"/>
            <w:vAlign w:val="center"/>
            <w:hideMark/>
          </w:tcPr>
          <w:p w14:paraId="5187741E"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3.46%</w:t>
            </w:r>
          </w:p>
        </w:tc>
        <w:tc>
          <w:tcPr>
            <w:tcW w:w="1295" w:type="dxa"/>
            <w:tcBorders>
              <w:top w:val="nil"/>
              <w:left w:val="nil"/>
              <w:bottom w:val="single" w:sz="8" w:space="0" w:color="auto"/>
              <w:right w:val="single" w:sz="8" w:space="0" w:color="auto"/>
            </w:tcBorders>
            <w:shd w:val="clear" w:color="000000" w:fill="FFFFFF"/>
            <w:vAlign w:val="center"/>
            <w:hideMark/>
          </w:tcPr>
          <w:p w14:paraId="547E8547" w14:textId="77777777" w:rsidR="002A59A4" w:rsidRPr="002A59A4" w:rsidRDefault="002A59A4" w:rsidP="002A59A4">
            <w:pPr>
              <w:jc w:val="right"/>
              <w:rPr>
                <w:rFonts w:cs="Arial"/>
                <w:color w:val="000000"/>
                <w:sz w:val="22"/>
                <w:szCs w:val="22"/>
                <w:lang w:eastAsia="en-GB"/>
              </w:rPr>
            </w:pPr>
            <w:r w:rsidRPr="002A59A4">
              <w:rPr>
                <w:rFonts w:cs="Arial"/>
                <w:color w:val="000000"/>
                <w:sz w:val="22"/>
                <w:szCs w:val="22"/>
                <w:lang w:eastAsia="en-GB"/>
              </w:rPr>
              <w:t>36.5</w:t>
            </w:r>
          </w:p>
        </w:tc>
        <w:tc>
          <w:tcPr>
            <w:tcW w:w="36" w:type="dxa"/>
            <w:vAlign w:val="center"/>
            <w:hideMark/>
          </w:tcPr>
          <w:p w14:paraId="14CBE198" w14:textId="77777777" w:rsidR="002A59A4" w:rsidRPr="002A59A4" w:rsidRDefault="002A59A4" w:rsidP="002A59A4">
            <w:pPr>
              <w:rPr>
                <w:rFonts w:ascii="Times New Roman" w:hAnsi="Times New Roman"/>
                <w:sz w:val="20"/>
                <w:lang w:eastAsia="en-GB"/>
              </w:rPr>
            </w:pPr>
          </w:p>
        </w:tc>
      </w:tr>
    </w:tbl>
    <w:p w14:paraId="76639A63" w14:textId="757DC2EB" w:rsidR="002A59A4" w:rsidRDefault="002A59A4" w:rsidP="008D7E75">
      <w:pPr>
        <w:jc w:val="both"/>
        <w:rPr>
          <w:rFonts w:eastAsia="Bliss 2 Regular" w:cs="Arial"/>
          <w:color w:val="0D0D0D"/>
        </w:rPr>
      </w:pPr>
    </w:p>
    <w:p w14:paraId="7A29E1C0" w14:textId="77777777" w:rsidR="002A59A4" w:rsidRPr="00361492" w:rsidRDefault="002A59A4" w:rsidP="00337D90">
      <w:pPr>
        <w:pStyle w:val="ListParagraph"/>
        <w:numPr>
          <w:ilvl w:val="0"/>
          <w:numId w:val="29"/>
        </w:numPr>
        <w:ind w:left="0" w:hanging="567"/>
        <w:jc w:val="both"/>
        <w:rPr>
          <w:rFonts w:eastAsia="Bliss 2 Regular" w:cs="Arial"/>
          <w:color w:val="0D0D0D"/>
        </w:rPr>
      </w:pPr>
      <w:r w:rsidRPr="00361492">
        <w:rPr>
          <w:rFonts w:eastAsia="Bliss 2 Regular" w:cs="Arial"/>
          <w:color w:val="0D0D0D"/>
        </w:rPr>
        <w:t>The Director of Finance will continue to keep borrowing decisions under review.</w:t>
      </w:r>
    </w:p>
    <w:p w14:paraId="33C67085" w14:textId="77777777" w:rsidR="002A59A4" w:rsidRPr="00361492" w:rsidRDefault="002A59A4" w:rsidP="002A59A4">
      <w:pPr>
        <w:jc w:val="both"/>
        <w:rPr>
          <w:rFonts w:eastAsia="Bliss 2 Regular" w:cs="Arial"/>
          <w:color w:val="0D0D0D"/>
        </w:rPr>
      </w:pPr>
    </w:p>
    <w:p w14:paraId="5ED77C33" w14:textId="28D7ABF0" w:rsidR="002A59A4" w:rsidRPr="00337D90" w:rsidRDefault="001F520D" w:rsidP="00337D90">
      <w:pPr>
        <w:pStyle w:val="ListParagraph"/>
        <w:numPr>
          <w:ilvl w:val="0"/>
          <w:numId w:val="29"/>
        </w:numPr>
        <w:ind w:left="0" w:hanging="567"/>
        <w:jc w:val="both"/>
        <w:rPr>
          <w:rFonts w:eastAsia="Bliss 2 Regular" w:cs="Arial"/>
          <w:color w:val="0D0D0D"/>
        </w:rPr>
      </w:pPr>
      <w:bookmarkStart w:id="6" w:name="_Hlk76468100"/>
      <w:r w:rsidRPr="00337D90">
        <w:rPr>
          <w:rFonts w:eastAsia="Bliss 2 Regular" w:cs="Arial"/>
          <w:color w:val="0D0D0D"/>
        </w:rPr>
        <w:t>The maturity structure of the debt portfolio remained within the Prudential Indictor limits set as part of the 2021/22 Treasury Management Strategy.  The maturity structure table</w:t>
      </w:r>
      <w:r w:rsidR="004502A6" w:rsidRPr="00337D90">
        <w:rPr>
          <w:rFonts w:eastAsia="Bliss 2 Regular" w:cs="Arial"/>
          <w:color w:val="0D0D0D"/>
        </w:rPr>
        <w:t xml:space="preserve"> (8)</w:t>
      </w:r>
      <w:r w:rsidRPr="00337D90">
        <w:rPr>
          <w:rFonts w:eastAsia="Bliss 2 Regular" w:cs="Arial"/>
          <w:color w:val="0D0D0D"/>
        </w:rPr>
        <w:t xml:space="preserve"> below includes one Lenders Option Borrowers Option (LOBO) market loan at its next call date, which is the earliest date the lender can require repayment</w:t>
      </w:r>
      <w:bookmarkStart w:id="7" w:name="_Hlk76469101"/>
      <w:r w:rsidRPr="00337D90">
        <w:rPr>
          <w:rFonts w:eastAsia="Bliss 2 Regular" w:cs="Arial"/>
          <w:color w:val="0D0D0D"/>
        </w:rPr>
        <w:t>.</w:t>
      </w:r>
      <w:bookmarkEnd w:id="6"/>
      <w:bookmarkEnd w:id="7"/>
    </w:p>
    <w:p w14:paraId="1CA9BD8A" w14:textId="77777777" w:rsidR="00A74536" w:rsidRPr="00361492" w:rsidRDefault="00A74536" w:rsidP="002A59A4">
      <w:pPr>
        <w:jc w:val="both"/>
        <w:rPr>
          <w:rFonts w:eastAsia="Bliss 2 Regular" w:cs="Arial"/>
          <w:color w:val="0D0D0D"/>
        </w:rPr>
      </w:pPr>
    </w:p>
    <w:p w14:paraId="74ABB41E" w14:textId="20AAB1BA" w:rsidR="002A59A4" w:rsidRDefault="001F520D" w:rsidP="008D7E75">
      <w:pPr>
        <w:jc w:val="both"/>
        <w:rPr>
          <w:rFonts w:eastAsia="Bliss 2 Regular" w:cs="Arial"/>
          <w:color w:val="0D0D0D"/>
        </w:rPr>
      </w:pPr>
      <w:r w:rsidRPr="00136B10">
        <w:rPr>
          <w:rFonts w:eastAsia="Bliss 2 Regular" w:cs="Arial"/>
          <w:color w:val="0D0D0D"/>
        </w:rPr>
        <w:t>Table 8</w:t>
      </w:r>
    </w:p>
    <w:tbl>
      <w:tblPr>
        <w:tblW w:w="8360" w:type="dxa"/>
        <w:tblLook w:val="04A0" w:firstRow="1" w:lastRow="0" w:firstColumn="1" w:lastColumn="0" w:noHBand="0" w:noVBand="1"/>
      </w:tblPr>
      <w:tblGrid>
        <w:gridCol w:w="2440"/>
        <w:gridCol w:w="1480"/>
        <w:gridCol w:w="1480"/>
        <w:gridCol w:w="1480"/>
        <w:gridCol w:w="1480"/>
      </w:tblGrid>
      <w:tr w:rsidR="00A74536" w:rsidRPr="00A74536" w14:paraId="79A74621" w14:textId="77777777" w:rsidTr="00A74536">
        <w:trPr>
          <w:trHeight w:val="630"/>
        </w:trPr>
        <w:tc>
          <w:tcPr>
            <w:tcW w:w="244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4C3DB5A" w14:textId="77777777" w:rsidR="00A74536" w:rsidRPr="00A74536" w:rsidRDefault="00A74536" w:rsidP="00A74536">
            <w:pPr>
              <w:rPr>
                <w:rFonts w:cs="Arial"/>
                <w:b/>
                <w:bCs/>
                <w:color w:val="000000"/>
                <w:sz w:val="22"/>
                <w:szCs w:val="22"/>
                <w:lang w:eastAsia="en-GB"/>
              </w:rPr>
            </w:pPr>
            <w:r w:rsidRPr="00A74536">
              <w:rPr>
                <w:rFonts w:cs="Arial"/>
                <w:b/>
                <w:bCs/>
                <w:color w:val="000000"/>
                <w:sz w:val="22"/>
                <w:szCs w:val="22"/>
                <w:lang w:eastAsia="en-GB"/>
              </w:rPr>
              <w:t>Maturity structure of borrowing 2021/22</w:t>
            </w:r>
          </w:p>
        </w:tc>
        <w:tc>
          <w:tcPr>
            <w:tcW w:w="1480" w:type="dxa"/>
            <w:tcBorders>
              <w:top w:val="single" w:sz="8" w:space="0" w:color="auto"/>
              <w:left w:val="nil"/>
              <w:bottom w:val="single" w:sz="8" w:space="0" w:color="auto"/>
              <w:right w:val="single" w:sz="8" w:space="0" w:color="auto"/>
            </w:tcBorders>
            <w:shd w:val="clear" w:color="000000" w:fill="BFBFBF"/>
            <w:vAlign w:val="center"/>
            <w:hideMark/>
          </w:tcPr>
          <w:p w14:paraId="68C2B787" w14:textId="77777777" w:rsidR="00A74536" w:rsidRPr="00A74536" w:rsidRDefault="00A74536" w:rsidP="00A74536">
            <w:pPr>
              <w:jc w:val="center"/>
              <w:rPr>
                <w:rFonts w:cs="Arial"/>
                <w:b/>
                <w:bCs/>
                <w:color w:val="000000"/>
                <w:sz w:val="22"/>
                <w:szCs w:val="22"/>
                <w:lang w:eastAsia="en-GB"/>
              </w:rPr>
            </w:pPr>
            <w:r w:rsidRPr="00A74536">
              <w:rPr>
                <w:rFonts w:cs="Arial"/>
                <w:b/>
                <w:bCs/>
                <w:color w:val="000000"/>
                <w:sz w:val="22"/>
                <w:szCs w:val="22"/>
                <w:lang w:eastAsia="en-GB"/>
              </w:rPr>
              <w:t>Lower Limit</w:t>
            </w:r>
          </w:p>
        </w:tc>
        <w:tc>
          <w:tcPr>
            <w:tcW w:w="1480" w:type="dxa"/>
            <w:tcBorders>
              <w:top w:val="single" w:sz="8" w:space="0" w:color="auto"/>
              <w:left w:val="nil"/>
              <w:bottom w:val="single" w:sz="8" w:space="0" w:color="auto"/>
              <w:right w:val="single" w:sz="8" w:space="0" w:color="auto"/>
            </w:tcBorders>
            <w:shd w:val="clear" w:color="000000" w:fill="BFBFBF"/>
            <w:vAlign w:val="center"/>
            <w:hideMark/>
          </w:tcPr>
          <w:p w14:paraId="110799DA" w14:textId="77777777" w:rsidR="00A74536" w:rsidRPr="00A74536" w:rsidRDefault="00A74536" w:rsidP="00A74536">
            <w:pPr>
              <w:jc w:val="center"/>
              <w:rPr>
                <w:rFonts w:cs="Arial"/>
                <w:b/>
                <w:bCs/>
                <w:color w:val="000000"/>
                <w:sz w:val="22"/>
                <w:szCs w:val="22"/>
                <w:lang w:eastAsia="en-GB"/>
              </w:rPr>
            </w:pPr>
            <w:r w:rsidRPr="00A74536">
              <w:rPr>
                <w:rFonts w:cs="Arial"/>
                <w:b/>
                <w:bCs/>
                <w:color w:val="000000"/>
                <w:sz w:val="22"/>
                <w:szCs w:val="22"/>
                <w:lang w:eastAsia="en-GB"/>
              </w:rPr>
              <w:t>Upper Limit</w:t>
            </w:r>
          </w:p>
        </w:tc>
        <w:tc>
          <w:tcPr>
            <w:tcW w:w="1480" w:type="dxa"/>
            <w:tcBorders>
              <w:top w:val="single" w:sz="8" w:space="0" w:color="auto"/>
              <w:left w:val="nil"/>
              <w:bottom w:val="single" w:sz="8" w:space="0" w:color="auto"/>
              <w:right w:val="single" w:sz="8" w:space="0" w:color="auto"/>
            </w:tcBorders>
            <w:shd w:val="clear" w:color="000000" w:fill="BFBFBF"/>
            <w:vAlign w:val="center"/>
            <w:hideMark/>
          </w:tcPr>
          <w:p w14:paraId="6BA5F192" w14:textId="77777777" w:rsidR="00A74536" w:rsidRPr="00A74536" w:rsidRDefault="00A74536" w:rsidP="00A74536">
            <w:pPr>
              <w:jc w:val="center"/>
              <w:rPr>
                <w:rFonts w:cs="Arial"/>
                <w:b/>
                <w:bCs/>
                <w:color w:val="000000"/>
                <w:sz w:val="22"/>
                <w:szCs w:val="22"/>
                <w:lang w:eastAsia="en-GB"/>
              </w:rPr>
            </w:pPr>
            <w:r w:rsidRPr="00A74536">
              <w:rPr>
                <w:rFonts w:cs="Arial"/>
                <w:b/>
                <w:bCs/>
                <w:color w:val="000000"/>
                <w:sz w:val="22"/>
                <w:szCs w:val="22"/>
                <w:lang w:eastAsia="en-GB"/>
              </w:rPr>
              <w:t>Actual 31.03.21</w:t>
            </w:r>
          </w:p>
        </w:tc>
        <w:tc>
          <w:tcPr>
            <w:tcW w:w="1480" w:type="dxa"/>
            <w:tcBorders>
              <w:top w:val="single" w:sz="8" w:space="0" w:color="auto"/>
              <w:left w:val="nil"/>
              <w:bottom w:val="single" w:sz="8" w:space="0" w:color="auto"/>
              <w:right w:val="single" w:sz="8" w:space="0" w:color="auto"/>
            </w:tcBorders>
            <w:shd w:val="clear" w:color="000000" w:fill="BFBFBF"/>
            <w:vAlign w:val="center"/>
            <w:hideMark/>
          </w:tcPr>
          <w:p w14:paraId="583162C7" w14:textId="77777777" w:rsidR="00A74536" w:rsidRPr="00A74536" w:rsidRDefault="00A74536" w:rsidP="00A74536">
            <w:pPr>
              <w:jc w:val="center"/>
              <w:rPr>
                <w:rFonts w:cs="Arial"/>
                <w:b/>
                <w:bCs/>
                <w:color w:val="000000"/>
                <w:sz w:val="22"/>
                <w:szCs w:val="22"/>
                <w:lang w:eastAsia="en-GB"/>
              </w:rPr>
            </w:pPr>
            <w:r w:rsidRPr="00A74536">
              <w:rPr>
                <w:rFonts w:cs="Arial"/>
                <w:b/>
                <w:bCs/>
                <w:color w:val="000000"/>
                <w:sz w:val="22"/>
                <w:szCs w:val="22"/>
                <w:lang w:eastAsia="en-GB"/>
              </w:rPr>
              <w:t>Actual 30.09.21</w:t>
            </w:r>
          </w:p>
        </w:tc>
      </w:tr>
      <w:tr w:rsidR="00A74536" w:rsidRPr="00A74536" w14:paraId="0B10304F" w14:textId="77777777" w:rsidTr="00A74536">
        <w:trPr>
          <w:trHeight w:val="315"/>
        </w:trPr>
        <w:tc>
          <w:tcPr>
            <w:tcW w:w="2440" w:type="dxa"/>
            <w:tcBorders>
              <w:top w:val="nil"/>
              <w:left w:val="single" w:sz="8" w:space="0" w:color="auto"/>
              <w:bottom w:val="single" w:sz="8" w:space="0" w:color="auto"/>
              <w:right w:val="single" w:sz="8" w:space="0" w:color="auto"/>
            </w:tcBorders>
            <w:shd w:val="clear" w:color="auto" w:fill="auto"/>
            <w:vAlign w:val="center"/>
            <w:hideMark/>
          </w:tcPr>
          <w:p w14:paraId="213A5807" w14:textId="77777777" w:rsidR="00A74536" w:rsidRPr="00A74536" w:rsidRDefault="00A74536" w:rsidP="00A74536">
            <w:pPr>
              <w:rPr>
                <w:rFonts w:cs="Arial"/>
                <w:color w:val="000000"/>
                <w:sz w:val="22"/>
                <w:szCs w:val="22"/>
                <w:lang w:eastAsia="en-GB"/>
              </w:rPr>
            </w:pPr>
            <w:r w:rsidRPr="00A74536">
              <w:rPr>
                <w:rFonts w:cs="Arial"/>
                <w:color w:val="000000"/>
                <w:sz w:val="22"/>
                <w:szCs w:val="22"/>
                <w:lang w:eastAsia="en-GB"/>
              </w:rPr>
              <w:t>Under 12 months</w:t>
            </w:r>
          </w:p>
        </w:tc>
        <w:tc>
          <w:tcPr>
            <w:tcW w:w="1480" w:type="dxa"/>
            <w:tcBorders>
              <w:top w:val="nil"/>
              <w:left w:val="nil"/>
              <w:bottom w:val="single" w:sz="8" w:space="0" w:color="auto"/>
              <w:right w:val="single" w:sz="8" w:space="0" w:color="auto"/>
            </w:tcBorders>
            <w:shd w:val="clear" w:color="auto" w:fill="auto"/>
            <w:vAlign w:val="center"/>
            <w:hideMark/>
          </w:tcPr>
          <w:p w14:paraId="564FB7B8"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0%</w:t>
            </w:r>
          </w:p>
        </w:tc>
        <w:tc>
          <w:tcPr>
            <w:tcW w:w="1480" w:type="dxa"/>
            <w:tcBorders>
              <w:top w:val="nil"/>
              <w:left w:val="nil"/>
              <w:bottom w:val="single" w:sz="8" w:space="0" w:color="auto"/>
              <w:right w:val="single" w:sz="8" w:space="0" w:color="auto"/>
            </w:tcBorders>
            <w:shd w:val="clear" w:color="auto" w:fill="auto"/>
            <w:vAlign w:val="center"/>
            <w:hideMark/>
          </w:tcPr>
          <w:p w14:paraId="4B47EA01"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40%</w:t>
            </w:r>
          </w:p>
        </w:tc>
        <w:tc>
          <w:tcPr>
            <w:tcW w:w="1480" w:type="dxa"/>
            <w:tcBorders>
              <w:top w:val="nil"/>
              <w:left w:val="nil"/>
              <w:bottom w:val="single" w:sz="8" w:space="0" w:color="auto"/>
              <w:right w:val="single" w:sz="8" w:space="0" w:color="auto"/>
            </w:tcBorders>
            <w:shd w:val="clear" w:color="auto" w:fill="auto"/>
            <w:vAlign w:val="center"/>
            <w:hideMark/>
          </w:tcPr>
          <w:p w14:paraId="20E9123D"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5%</w:t>
            </w:r>
          </w:p>
        </w:tc>
        <w:tc>
          <w:tcPr>
            <w:tcW w:w="1480" w:type="dxa"/>
            <w:tcBorders>
              <w:top w:val="nil"/>
              <w:left w:val="nil"/>
              <w:bottom w:val="single" w:sz="8" w:space="0" w:color="auto"/>
              <w:right w:val="single" w:sz="8" w:space="0" w:color="auto"/>
            </w:tcBorders>
            <w:shd w:val="clear" w:color="auto" w:fill="auto"/>
            <w:vAlign w:val="center"/>
            <w:hideMark/>
          </w:tcPr>
          <w:p w14:paraId="286D7AE3"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5%</w:t>
            </w:r>
          </w:p>
        </w:tc>
      </w:tr>
      <w:tr w:rsidR="00A74536" w:rsidRPr="00A74536" w14:paraId="282D1FDD" w14:textId="77777777" w:rsidTr="00A74536">
        <w:trPr>
          <w:trHeight w:val="315"/>
        </w:trPr>
        <w:tc>
          <w:tcPr>
            <w:tcW w:w="2440" w:type="dxa"/>
            <w:tcBorders>
              <w:top w:val="nil"/>
              <w:left w:val="single" w:sz="8" w:space="0" w:color="auto"/>
              <w:bottom w:val="single" w:sz="8" w:space="0" w:color="auto"/>
              <w:right w:val="single" w:sz="8" w:space="0" w:color="auto"/>
            </w:tcBorders>
            <w:shd w:val="clear" w:color="auto" w:fill="auto"/>
            <w:vAlign w:val="center"/>
            <w:hideMark/>
          </w:tcPr>
          <w:p w14:paraId="0719F203" w14:textId="77777777" w:rsidR="00A74536" w:rsidRPr="00A74536" w:rsidRDefault="00A74536" w:rsidP="00A74536">
            <w:pPr>
              <w:rPr>
                <w:rFonts w:cs="Arial"/>
                <w:color w:val="000000"/>
                <w:sz w:val="22"/>
                <w:szCs w:val="22"/>
                <w:lang w:eastAsia="en-GB"/>
              </w:rPr>
            </w:pPr>
            <w:r w:rsidRPr="00A74536">
              <w:rPr>
                <w:rFonts w:cs="Arial"/>
                <w:color w:val="000000"/>
                <w:sz w:val="22"/>
                <w:szCs w:val="22"/>
                <w:lang w:eastAsia="en-GB"/>
              </w:rPr>
              <w:t>12 months to 2 years</w:t>
            </w:r>
          </w:p>
        </w:tc>
        <w:tc>
          <w:tcPr>
            <w:tcW w:w="1480" w:type="dxa"/>
            <w:tcBorders>
              <w:top w:val="nil"/>
              <w:left w:val="nil"/>
              <w:bottom w:val="single" w:sz="8" w:space="0" w:color="auto"/>
              <w:right w:val="single" w:sz="8" w:space="0" w:color="auto"/>
            </w:tcBorders>
            <w:shd w:val="clear" w:color="auto" w:fill="auto"/>
            <w:vAlign w:val="center"/>
            <w:hideMark/>
          </w:tcPr>
          <w:p w14:paraId="0966101F"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0%</w:t>
            </w:r>
          </w:p>
        </w:tc>
        <w:tc>
          <w:tcPr>
            <w:tcW w:w="1480" w:type="dxa"/>
            <w:tcBorders>
              <w:top w:val="nil"/>
              <w:left w:val="nil"/>
              <w:bottom w:val="single" w:sz="8" w:space="0" w:color="auto"/>
              <w:right w:val="single" w:sz="8" w:space="0" w:color="auto"/>
            </w:tcBorders>
            <w:shd w:val="clear" w:color="auto" w:fill="auto"/>
            <w:vAlign w:val="center"/>
            <w:hideMark/>
          </w:tcPr>
          <w:p w14:paraId="2B851D20"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30%</w:t>
            </w:r>
          </w:p>
        </w:tc>
        <w:tc>
          <w:tcPr>
            <w:tcW w:w="1480" w:type="dxa"/>
            <w:tcBorders>
              <w:top w:val="nil"/>
              <w:left w:val="nil"/>
              <w:bottom w:val="single" w:sz="8" w:space="0" w:color="auto"/>
              <w:right w:val="single" w:sz="8" w:space="0" w:color="auto"/>
            </w:tcBorders>
            <w:shd w:val="clear" w:color="auto" w:fill="auto"/>
            <w:vAlign w:val="center"/>
            <w:hideMark/>
          </w:tcPr>
          <w:p w14:paraId="2CBB2061"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1%</w:t>
            </w:r>
          </w:p>
        </w:tc>
        <w:tc>
          <w:tcPr>
            <w:tcW w:w="1480" w:type="dxa"/>
            <w:tcBorders>
              <w:top w:val="nil"/>
              <w:left w:val="nil"/>
              <w:bottom w:val="single" w:sz="8" w:space="0" w:color="auto"/>
              <w:right w:val="single" w:sz="8" w:space="0" w:color="auto"/>
            </w:tcBorders>
            <w:shd w:val="clear" w:color="auto" w:fill="auto"/>
            <w:vAlign w:val="center"/>
            <w:hideMark/>
          </w:tcPr>
          <w:p w14:paraId="21D5F538"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1%</w:t>
            </w:r>
          </w:p>
        </w:tc>
      </w:tr>
      <w:tr w:rsidR="00A74536" w:rsidRPr="00A74536" w14:paraId="2B1DA346" w14:textId="77777777" w:rsidTr="00A74536">
        <w:trPr>
          <w:trHeight w:val="315"/>
        </w:trPr>
        <w:tc>
          <w:tcPr>
            <w:tcW w:w="2440" w:type="dxa"/>
            <w:tcBorders>
              <w:top w:val="nil"/>
              <w:left w:val="single" w:sz="8" w:space="0" w:color="auto"/>
              <w:bottom w:val="single" w:sz="8" w:space="0" w:color="auto"/>
              <w:right w:val="single" w:sz="8" w:space="0" w:color="auto"/>
            </w:tcBorders>
            <w:shd w:val="clear" w:color="auto" w:fill="auto"/>
            <w:vAlign w:val="center"/>
            <w:hideMark/>
          </w:tcPr>
          <w:p w14:paraId="662C35CD" w14:textId="77777777" w:rsidR="00A74536" w:rsidRPr="00A74536" w:rsidRDefault="00A74536" w:rsidP="00A74536">
            <w:pPr>
              <w:rPr>
                <w:rFonts w:cs="Arial"/>
                <w:color w:val="000000"/>
                <w:sz w:val="22"/>
                <w:szCs w:val="22"/>
                <w:lang w:eastAsia="en-GB"/>
              </w:rPr>
            </w:pPr>
            <w:r w:rsidRPr="00A74536">
              <w:rPr>
                <w:rFonts w:cs="Arial"/>
                <w:color w:val="000000"/>
                <w:sz w:val="22"/>
                <w:szCs w:val="22"/>
                <w:lang w:eastAsia="en-GB"/>
              </w:rPr>
              <w:t>2 years to 5 years</w:t>
            </w:r>
          </w:p>
        </w:tc>
        <w:tc>
          <w:tcPr>
            <w:tcW w:w="1480" w:type="dxa"/>
            <w:tcBorders>
              <w:top w:val="nil"/>
              <w:left w:val="nil"/>
              <w:bottom w:val="single" w:sz="8" w:space="0" w:color="auto"/>
              <w:right w:val="single" w:sz="8" w:space="0" w:color="auto"/>
            </w:tcBorders>
            <w:shd w:val="clear" w:color="auto" w:fill="auto"/>
            <w:vAlign w:val="center"/>
            <w:hideMark/>
          </w:tcPr>
          <w:p w14:paraId="4918F57B"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0%</w:t>
            </w:r>
          </w:p>
        </w:tc>
        <w:tc>
          <w:tcPr>
            <w:tcW w:w="1480" w:type="dxa"/>
            <w:tcBorders>
              <w:top w:val="nil"/>
              <w:left w:val="nil"/>
              <w:bottom w:val="single" w:sz="8" w:space="0" w:color="auto"/>
              <w:right w:val="single" w:sz="8" w:space="0" w:color="auto"/>
            </w:tcBorders>
            <w:shd w:val="clear" w:color="auto" w:fill="auto"/>
            <w:vAlign w:val="center"/>
            <w:hideMark/>
          </w:tcPr>
          <w:p w14:paraId="5D8E3AC3"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30%</w:t>
            </w:r>
          </w:p>
        </w:tc>
        <w:tc>
          <w:tcPr>
            <w:tcW w:w="1480" w:type="dxa"/>
            <w:tcBorders>
              <w:top w:val="nil"/>
              <w:left w:val="nil"/>
              <w:bottom w:val="single" w:sz="8" w:space="0" w:color="auto"/>
              <w:right w:val="single" w:sz="8" w:space="0" w:color="auto"/>
            </w:tcBorders>
            <w:shd w:val="clear" w:color="auto" w:fill="auto"/>
            <w:vAlign w:val="center"/>
            <w:hideMark/>
          </w:tcPr>
          <w:p w14:paraId="347124D4"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0%</w:t>
            </w:r>
          </w:p>
        </w:tc>
        <w:tc>
          <w:tcPr>
            <w:tcW w:w="1480" w:type="dxa"/>
            <w:tcBorders>
              <w:top w:val="nil"/>
              <w:left w:val="nil"/>
              <w:bottom w:val="single" w:sz="8" w:space="0" w:color="auto"/>
              <w:right w:val="single" w:sz="8" w:space="0" w:color="auto"/>
            </w:tcBorders>
            <w:shd w:val="clear" w:color="auto" w:fill="auto"/>
            <w:vAlign w:val="center"/>
            <w:hideMark/>
          </w:tcPr>
          <w:p w14:paraId="739EB89F"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0%</w:t>
            </w:r>
          </w:p>
        </w:tc>
      </w:tr>
      <w:tr w:rsidR="00A74536" w:rsidRPr="00A74536" w14:paraId="2BC3B45C" w14:textId="77777777" w:rsidTr="00A74536">
        <w:trPr>
          <w:trHeight w:val="315"/>
        </w:trPr>
        <w:tc>
          <w:tcPr>
            <w:tcW w:w="2440" w:type="dxa"/>
            <w:tcBorders>
              <w:top w:val="nil"/>
              <w:left w:val="single" w:sz="8" w:space="0" w:color="auto"/>
              <w:bottom w:val="single" w:sz="8" w:space="0" w:color="auto"/>
              <w:right w:val="single" w:sz="8" w:space="0" w:color="auto"/>
            </w:tcBorders>
            <w:shd w:val="clear" w:color="auto" w:fill="auto"/>
            <w:vAlign w:val="center"/>
            <w:hideMark/>
          </w:tcPr>
          <w:p w14:paraId="2B0D837B" w14:textId="77777777" w:rsidR="00A74536" w:rsidRPr="00A74536" w:rsidRDefault="00A74536" w:rsidP="00A74536">
            <w:pPr>
              <w:rPr>
                <w:rFonts w:cs="Arial"/>
                <w:color w:val="000000"/>
                <w:sz w:val="22"/>
                <w:szCs w:val="22"/>
                <w:lang w:eastAsia="en-GB"/>
              </w:rPr>
            </w:pPr>
            <w:r w:rsidRPr="00A74536">
              <w:rPr>
                <w:rFonts w:cs="Arial"/>
                <w:color w:val="000000"/>
                <w:sz w:val="22"/>
                <w:szCs w:val="22"/>
                <w:lang w:eastAsia="en-GB"/>
              </w:rPr>
              <w:t>5 years to 10 years</w:t>
            </w:r>
          </w:p>
        </w:tc>
        <w:tc>
          <w:tcPr>
            <w:tcW w:w="1480" w:type="dxa"/>
            <w:tcBorders>
              <w:top w:val="nil"/>
              <w:left w:val="nil"/>
              <w:bottom w:val="single" w:sz="8" w:space="0" w:color="auto"/>
              <w:right w:val="single" w:sz="8" w:space="0" w:color="auto"/>
            </w:tcBorders>
            <w:shd w:val="clear" w:color="auto" w:fill="auto"/>
            <w:vAlign w:val="center"/>
            <w:hideMark/>
          </w:tcPr>
          <w:p w14:paraId="4079D15D"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0%</w:t>
            </w:r>
          </w:p>
        </w:tc>
        <w:tc>
          <w:tcPr>
            <w:tcW w:w="1480" w:type="dxa"/>
            <w:tcBorders>
              <w:top w:val="nil"/>
              <w:left w:val="nil"/>
              <w:bottom w:val="single" w:sz="8" w:space="0" w:color="auto"/>
              <w:right w:val="single" w:sz="8" w:space="0" w:color="auto"/>
            </w:tcBorders>
            <w:shd w:val="clear" w:color="auto" w:fill="auto"/>
            <w:vAlign w:val="center"/>
            <w:hideMark/>
          </w:tcPr>
          <w:p w14:paraId="1C61A1CC"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40%</w:t>
            </w:r>
          </w:p>
        </w:tc>
        <w:tc>
          <w:tcPr>
            <w:tcW w:w="1480" w:type="dxa"/>
            <w:tcBorders>
              <w:top w:val="nil"/>
              <w:left w:val="nil"/>
              <w:bottom w:val="single" w:sz="8" w:space="0" w:color="auto"/>
              <w:right w:val="single" w:sz="8" w:space="0" w:color="auto"/>
            </w:tcBorders>
            <w:shd w:val="clear" w:color="auto" w:fill="auto"/>
            <w:vAlign w:val="center"/>
            <w:hideMark/>
          </w:tcPr>
          <w:p w14:paraId="6888CDBF"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5%</w:t>
            </w:r>
          </w:p>
        </w:tc>
        <w:tc>
          <w:tcPr>
            <w:tcW w:w="1480" w:type="dxa"/>
            <w:tcBorders>
              <w:top w:val="nil"/>
              <w:left w:val="nil"/>
              <w:bottom w:val="single" w:sz="8" w:space="0" w:color="auto"/>
              <w:right w:val="single" w:sz="8" w:space="0" w:color="auto"/>
            </w:tcBorders>
            <w:shd w:val="clear" w:color="auto" w:fill="auto"/>
            <w:vAlign w:val="center"/>
            <w:hideMark/>
          </w:tcPr>
          <w:p w14:paraId="634A12E5"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5%</w:t>
            </w:r>
          </w:p>
        </w:tc>
      </w:tr>
      <w:tr w:rsidR="00A74536" w:rsidRPr="00A74536" w14:paraId="0E7374A4" w14:textId="77777777" w:rsidTr="00A74536">
        <w:trPr>
          <w:trHeight w:val="315"/>
        </w:trPr>
        <w:tc>
          <w:tcPr>
            <w:tcW w:w="2440" w:type="dxa"/>
            <w:tcBorders>
              <w:top w:val="nil"/>
              <w:left w:val="single" w:sz="8" w:space="0" w:color="auto"/>
              <w:bottom w:val="single" w:sz="8" w:space="0" w:color="auto"/>
              <w:right w:val="single" w:sz="8" w:space="0" w:color="auto"/>
            </w:tcBorders>
            <w:shd w:val="clear" w:color="auto" w:fill="auto"/>
            <w:vAlign w:val="center"/>
            <w:hideMark/>
          </w:tcPr>
          <w:p w14:paraId="0DEAE6BF" w14:textId="77777777" w:rsidR="00A74536" w:rsidRPr="00A74536" w:rsidRDefault="00A74536" w:rsidP="00A74536">
            <w:pPr>
              <w:rPr>
                <w:rFonts w:cs="Arial"/>
                <w:color w:val="000000"/>
                <w:sz w:val="22"/>
                <w:szCs w:val="22"/>
                <w:lang w:eastAsia="en-GB"/>
              </w:rPr>
            </w:pPr>
            <w:r w:rsidRPr="00A74536">
              <w:rPr>
                <w:rFonts w:cs="Arial"/>
                <w:color w:val="000000"/>
                <w:sz w:val="22"/>
                <w:szCs w:val="22"/>
                <w:lang w:eastAsia="en-GB"/>
              </w:rPr>
              <w:t>10 years and above</w:t>
            </w:r>
          </w:p>
        </w:tc>
        <w:tc>
          <w:tcPr>
            <w:tcW w:w="1480" w:type="dxa"/>
            <w:tcBorders>
              <w:top w:val="nil"/>
              <w:left w:val="nil"/>
              <w:bottom w:val="single" w:sz="8" w:space="0" w:color="auto"/>
              <w:right w:val="single" w:sz="8" w:space="0" w:color="auto"/>
            </w:tcBorders>
            <w:shd w:val="clear" w:color="auto" w:fill="auto"/>
            <w:vAlign w:val="center"/>
            <w:hideMark/>
          </w:tcPr>
          <w:p w14:paraId="07A2DF25"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30%</w:t>
            </w:r>
          </w:p>
        </w:tc>
        <w:tc>
          <w:tcPr>
            <w:tcW w:w="1480" w:type="dxa"/>
            <w:tcBorders>
              <w:top w:val="nil"/>
              <w:left w:val="nil"/>
              <w:bottom w:val="single" w:sz="8" w:space="0" w:color="auto"/>
              <w:right w:val="single" w:sz="8" w:space="0" w:color="auto"/>
            </w:tcBorders>
            <w:shd w:val="clear" w:color="auto" w:fill="auto"/>
            <w:vAlign w:val="center"/>
            <w:hideMark/>
          </w:tcPr>
          <w:p w14:paraId="0E5732EF"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100%</w:t>
            </w:r>
          </w:p>
        </w:tc>
        <w:tc>
          <w:tcPr>
            <w:tcW w:w="1480" w:type="dxa"/>
            <w:tcBorders>
              <w:top w:val="nil"/>
              <w:left w:val="nil"/>
              <w:bottom w:val="single" w:sz="8" w:space="0" w:color="auto"/>
              <w:right w:val="single" w:sz="8" w:space="0" w:color="auto"/>
            </w:tcBorders>
            <w:shd w:val="clear" w:color="auto" w:fill="auto"/>
            <w:vAlign w:val="center"/>
            <w:hideMark/>
          </w:tcPr>
          <w:p w14:paraId="4249BFE9"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89%</w:t>
            </w:r>
          </w:p>
        </w:tc>
        <w:tc>
          <w:tcPr>
            <w:tcW w:w="1480" w:type="dxa"/>
            <w:tcBorders>
              <w:top w:val="nil"/>
              <w:left w:val="nil"/>
              <w:bottom w:val="single" w:sz="8" w:space="0" w:color="auto"/>
              <w:right w:val="single" w:sz="8" w:space="0" w:color="auto"/>
            </w:tcBorders>
            <w:shd w:val="clear" w:color="auto" w:fill="auto"/>
            <w:vAlign w:val="center"/>
            <w:hideMark/>
          </w:tcPr>
          <w:p w14:paraId="22541341" w14:textId="77777777" w:rsidR="00A74536" w:rsidRPr="00A74536" w:rsidRDefault="00A74536" w:rsidP="00A74536">
            <w:pPr>
              <w:jc w:val="center"/>
              <w:rPr>
                <w:rFonts w:cs="Arial"/>
                <w:color w:val="000000"/>
                <w:sz w:val="22"/>
                <w:szCs w:val="22"/>
                <w:lang w:eastAsia="en-GB"/>
              </w:rPr>
            </w:pPr>
            <w:r w:rsidRPr="00A74536">
              <w:rPr>
                <w:rFonts w:cs="Arial"/>
                <w:color w:val="000000"/>
                <w:sz w:val="22"/>
                <w:szCs w:val="22"/>
                <w:lang w:eastAsia="en-GB"/>
              </w:rPr>
              <w:t>89%</w:t>
            </w:r>
          </w:p>
        </w:tc>
      </w:tr>
    </w:tbl>
    <w:p w14:paraId="2DB5700A" w14:textId="77777777" w:rsidR="008D7E75" w:rsidRDefault="008D7E75" w:rsidP="008F2670">
      <w:pPr>
        <w:jc w:val="both"/>
        <w:rPr>
          <w:color w:val="0D0D0D" w:themeColor="text1" w:themeTint="F2"/>
        </w:rPr>
      </w:pPr>
    </w:p>
    <w:p w14:paraId="22F466C3" w14:textId="151719A3" w:rsidR="008F2670" w:rsidRDefault="008F2670" w:rsidP="008F2670">
      <w:pPr>
        <w:jc w:val="both"/>
        <w:rPr>
          <w:color w:val="0D0D0D" w:themeColor="text1" w:themeTint="F2"/>
        </w:rPr>
      </w:pPr>
    </w:p>
    <w:p w14:paraId="4214C9C5" w14:textId="77777777" w:rsidR="008F2670" w:rsidRDefault="008F2670" w:rsidP="00B3329F">
      <w:pPr>
        <w:pStyle w:val="Heading2"/>
        <w:numPr>
          <w:ilvl w:val="0"/>
          <w:numId w:val="30"/>
        </w:numPr>
        <w:ind w:left="-142" w:hanging="567"/>
        <w:rPr>
          <w:rFonts w:ascii="Arial" w:hAnsi="Arial"/>
          <w:color w:val="0000FF"/>
          <w:sz w:val="28"/>
          <w:szCs w:val="28"/>
        </w:rPr>
      </w:pPr>
      <w:r w:rsidRPr="00F06E4E">
        <w:rPr>
          <w:rFonts w:ascii="Arial" w:hAnsi="Arial"/>
          <w:color w:val="0000FF"/>
          <w:sz w:val="28"/>
          <w:szCs w:val="28"/>
        </w:rPr>
        <w:t>Implications of the Recommendation</w:t>
      </w:r>
    </w:p>
    <w:p w14:paraId="323F510A" w14:textId="77777777" w:rsidR="008F2670" w:rsidRDefault="008F2670" w:rsidP="008F2670">
      <w:pPr>
        <w:jc w:val="both"/>
        <w:rPr>
          <w:color w:val="0D0D0D" w:themeColor="text1" w:themeTint="F2"/>
        </w:rPr>
      </w:pPr>
    </w:p>
    <w:p w14:paraId="75284416" w14:textId="171576A1" w:rsidR="00A81E19" w:rsidRDefault="00A81E19" w:rsidP="00B3329F">
      <w:pPr>
        <w:pStyle w:val="Heading3"/>
        <w:numPr>
          <w:ilvl w:val="0"/>
          <w:numId w:val="31"/>
        </w:numPr>
        <w:spacing w:before="480" w:after="240"/>
        <w:ind w:left="0" w:hanging="709"/>
      </w:pPr>
      <w:r>
        <w:t>Risk Management Implications</w:t>
      </w:r>
    </w:p>
    <w:p w14:paraId="72043514" w14:textId="77777777" w:rsidR="003B45AC" w:rsidRPr="003B45AC" w:rsidRDefault="003B45AC" w:rsidP="003B45AC">
      <w:pPr>
        <w:rPr>
          <w:bCs/>
        </w:rPr>
      </w:pPr>
      <w:r w:rsidRPr="003B45AC">
        <w:rPr>
          <w:bCs/>
        </w:rPr>
        <w:t>This report is for noting and Cabinet are not being asked to make any decisions hence there are no direct risk management implications to this report.</w:t>
      </w:r>
    </w:p>
    <w:p w14:paraId="0249BBDB" w14:textId="02A38157" w:rsidR="002A3FEF" w:rsidRDefault="002A3FEF" w:rsidP="00B3329F">
      <w:pPr>
        <w:pStyle w:val="Heading3"/>
        <w:numPr>
          <w:ilvl w:val="0"/>
          <w:numId w:val="33"/>
        </w:numPr>
        <w:spacing w:before="480" w:after="240"/>
        <w:ind w:hanging="720"/>
      </w:pPr>
      <w:r>
        <w:t>Procurement Implications</w:t>
      </w:r>
    </w:p>
    <w:p w14:paraId="6CA39FD6" w14:textId="77777777" w:rsidR="008A4061" w:rsidRDefault="008A4061" w:rsidP="00AD1E77">
      <w:pPr>
        <w:spacing w:before="240"/>
        <w:rPr>
          <w:rFonts w:cs="Arial"/>
          <w:szCs w:val="24"/>
        </w:rPr>
      </w:pPr>
      <w:r>
        <w:rPr>
          <w:rFonts w:cs="Arial"/>
          <w:szCs w:val="24"/>
        </w:rPr>
        <w:t xml:space="preserve">There are no procurement implications arising from this report. </w:t>
      </w:r>
    </w:p>
    <w:p w14:paraId="44413A6E" w14:textId="77777777" w:rsidR="00333FAA" w:rsidRDefault="00333FAA" w:rsidP="00B3329F">
      <w:pPr>
        <w:pStyle w:val="Heading3"/>
        <w:numPr>
          <w:ilvl w:val="0"/>
          <w:numId w:val="34"/>
        </w:numPr>
        <w:spacing w:before="480" w:after="240"/>
        <w:ind w:left="0" w:hanging="709"/>
      </w:pPr>
      <w:r>
        <w:t>Legal Implications</w:t>
      </w:r>
    </w:p>
    <w:p w14:paraId="70DBA3A6" w14:textId="77777777" w:rsidR="008A4061" w:rsidRDefault="008A4061" w:rsidP="00A1211C">
      <w:pPr>
        <w:rPr>
          <w:rFonts w:cs="Arial"/>
          <w:szCs w:val="24"/>
          <w:lang w:eastAsia="en-GB"/>
        </w:rPr>
      </w:pPr>
      <w:r w:rsidRPr="007662D9">
        <w:rPr>
          <w:rFonts w:cs="Arial"/>
          <w:szCs w:val="24"/>
        </w:rPr>
        <w:t>The</w:t>
      </w:r>
      <w:r>
        <w:rPr>
          <w:rFonts w:ascii="ArialMT" w:hAnsi="ArialMT" w:cs="ArialMT"/>
          <w:szCs w:val="24"/>
          <w:lang w:eastAsia="en-GB"/>
        </w:rPr>
        <w:t xml:space="preserve"> Local Government Act 2003 requires the Council to ‘have regard to’ the </w:t>
      </w:r>
      <w:r>
        <w:rPr>
          <w:rFonts w:cs="Arial"/>
          <w:szCs w:val="24"/>
          <w:lang w:eastAsia="en-GB"/>
        </w:rPr>
        <w:t xml:space="preserve">Prudential Code and to set Prudential Indicators for the next three years to </w:t>
      </w:r>
      <w:r>
        <w:rPr>
          <w:rFonts w:ascii="ArialMT" w:hAnsi="ArialMT" w:cs="ArialMT"/>
          <w:szCs w:val="24"/>
          <w:lang w:eastAsia="en-GB"/>
        </w:rPr>
        <w:lastRenderedPageBreak/>
        <w:t xml:space="preserve">ensure that the Council’s capital investment plans are affordable, prudent and </w:t>
      </w:r>
      <w:r>
        <w:rPr>
          <w:rFonts w:cs="Arial"/>
          <w:szCs w:val="24"/>
          <w:lang w:eastAsia="en-GB"/>
        </w:rPr>
        <w:t xml:space="preserve">sustainable. These are contained within this report.  </w:t>
      </w:r>
    </w:p>
    <w:p w14:paraId="73469D83" w14:textId="77777777" w:rsidR="008A4061" w:rsidRDefault="008A4061" w:rsidP="00A1211C">
      <w:pPr>
        <w:rPr>
          <w:rFonts w:cs="Arial"/>
          <w:szCs w:val="24"/>
          <w:lang w:eastAsia="en-GB"/>
        </w:rPr>
      </w:pPr>
    </w:p>
    <w:p w14:paraId="50673E8A" w14:textId="0D4DE868" w:rsidR="008A4061" w:rsidRPr="00647D4B" w:rsidRDefault="008A4061" w:rsidP="00A1211C">
      <w:pPr>
        <w:rPr>
          <w:rFonts w:cs="Arial"/>
          <w:szCs w:val="24"/>
          <w:lang w:eastAsia="en-GB"/>
        </w:rPr>
      </w:pPr>
      <w:r>
        <w:rPr>
          <w:rFonts w:cs="Arial"/>
          <w:szCs w:val="24"/>
          <w:lang w:eastAsia="en-GB"/>
        </w:rPr>
        <w:t xml:space="preserve">The Act, accompanying statutory guidance and Codes of Practice referred to through capital financing regulations requires the Council to set out its treasury strategy for borrowing </w:t>
      </w:r>
      <w:r>
        <w:rPr>
          <w:rFonts w:ascii="ArialMT" w:hAnsi="ArialMT" w:cs="ArialMT"/>
          <w:szCs w:val="24"/>
          <w:lang w:eastAsia="en-GB"/>
        </w:rPr>
        <w:t xml:space="preserve">and to prepare an Annual Investment Strategy. This sets out the Council’s </w:t>
      </w:r>
      <w:r>
        <w:rPr>
          <w:rFonts w:cs="Arial"/>
          <w:szCs w:val="24"/>
          <w:lang w:eastAsia="en-GB"/>
        </w:rPr>
        <w:t>policies for managing its investments and for giving priority to the security and liquidity of those investments. This report assists the Council in fulfilling its statutory obligation under the Local Government Act 2003 to monitor its borrowing and investment activities.</w:t>
      </w:r>
    </w:p>
    <w:p w14:paraId="11F2AC04" w14:textId="77777777" w:rsidR="00333FAA" w:rsidRDefault="00333FAA" w:rsidP="00B3329F">
      <w:pPr>
        <w:pStyle w:val="Heading3"/>
        <w:numPr>
          <w:ilvl w:val="0"/>
          <w:numId w:val="35"/>
        </w:numPr>
        <w:spacing w:before="480" w:after="240"/>
        <w:ind w:left="0" w:hanging="709"/>
      </w:pPr>
      <w:r>
        <w:t>Financial Implications</w:t>
      </w:r>
    </w:p>
    <w:p w14:paraId="0482FC1E" w14:textId="6670B7F4" w:rsidR="00A1211C" w:rsidRDefault="008A4061" w:rsidP="0054590F">
      <w:r w:rsidRPr="007662D9">
        <w:t>In addition to supporting the Council’s revenue and capital programmes the Treasury Management</w:t>
      </w:r>
      <w:r>
        <w:t xml:space="preserve"> interest </w:t>
      </w:r>
      <w:r w:rsidRPr="007662D9">
        <w:t xml:space="preserve">budget </w:t>
      </w:r>
      <w:r w:rsidRPr="00FF17D3">
        <w:t xml:space="preserve">is an important part of the </w:t>
      </w:r>
      <w:r>
        <w:t xml:space="preserve">revenue </w:t>
      </w:r>
      <w:r w:rsidRPr="00FF17D3">
        <w:t>budget. Any savings achieved, or overspends</w:t>
      </w:r>
      <w:r w:rsidRPr="007662D9">
        <w:t xml:space="preserve"> incurred, have a direct impact on the </w:t>
      </w:r>
      <w:r>
        <w:t>financial performance of the</w:t>
      </w:r>
      <w:r w:rsidRPr="007662D9">
        <w:t xml:space="preserve"> budget.</w:t>
      </w:r>
      <w:r>
        <w:t xml:space="preserve"> </w:t>
      </w:r>
    </w:p>
    <w:p w14:paraId="41D80CF8" w14:textId="77777777" w:rsidR="00333FAA" w:rsidRPr="00C15DE2" w:rsidRDefault="00333FAA" w:rsidP="00C15DE2">
      <w:pPr>
        <w:pStyle w:val="Heading3"/>
        <w:numPr>
          <w:ilvl w:val="0"/>
          <w:numId w:val="36"/>
        </w:numPr>
        <w:spacing w:before="480" w:after="240"/>
        <w:ind w:left="0" w:hanging="709"/>
      </w:pPr>
      <w:r w:rsidRPr="00C15DE2">
        <w:t>Equalities implications</w:t>
      </w:r>
      <w:r w:rsidR="001C7E35" w:rsidRPr="00C15DE2">
        <w:t xml:space="preserve"> </w:t>
      </w:r>
      <w:r w:rsidRPr="00C15DE2">
        <w:t>/</w:t>
      </w:r>
      <w:r w:rsidR="001C7E35" w:rsidRPr="00C15DE2">
        <w:t xml:space="preserve"> </w:t>
      </w:r>
      <w:r w:rsidRPr="00C15DE2">
        <w:t>Public Sector Equality Duty</w:t>
      </w:r>
    </w:p>
    <w:p w14:paraId="7734409C" w14:textId="5AAD213F" w:rsidR="001F2235" w:rsidRDefault="001F2235" w:rsidP="576EF44A">
      <w:pPr>
        <w:rPr>
          <w:i/>
          <w:iCs/>
          <w:color w:val="0000FF"/>
        </w:rPr>
      </w:pPr>
      <w:r>
        <w:t>T</w:t>
      </w:r>
      <w:r w:rsidRPr="007662D9">
        <w:rPr>
          <w:rFonts w:cs="Arial"/>
          <w:szCs w:val="24"/>
        </w:rPr>
        <w:t>here is no direct equalities impact.</w:t>
      </w:r>
    </w:p>
    <w:p w14:paraId="0E9ED8C5" w14:textId="65541117" w:rsidR="00333FAA" w:rsidRPr="00C15DE2" w:rsidRDefault="001F2235" w:rsidP="00C15DE2">
      <w:pPr>
        <w:pStyle w:val="Heading3"/>
        <w:numPr>
          <w:ilvl w:val="0"/>
          <w:numId w:val="37"/>
        </w:numPr>
        <w:spacing w:before="480" w:after="240"/>
        <w:ind w:left="0" w:hanging="709"/>
        <w:rPr>
          <w:rFonts w:eastAsia="Arial"/>
        </w:rPr>
      </w:pPr>
      <w:r w:rsidRPr="00C15DE2">
        <w:rPr>
          <w:sz w:val="32"/>
          <w:szCs w:val="32"/>
        </w:rPr>
        <w:t>C</w:t>
      </w:r>
      <w:r w:rsidR="00333FAA" w:rsidRPr="00C15DE2">
        <w:rPr>
          <w:sz w:val="32"/>
          <w:szCs w:val="32"/>
        </w:rPr>
        <w:t>ouncil Priorities</w:t>
      </w:r>
    </w:p>
    <w:p w14:paraId="74ED77AB" w14:textId="3938B71E" w:rsidR="00307F76" w:rsidRPr="001F2235" w:rsidRDefault="001F2235" w:rsidP="001F2235">
      <w:pPr>
        <w:autoSpaceDE w:val="0"/>
        <w:autoSpaceDN w:val="0"/>
        <w:spacing w:before="240"/>
        <w:rPr>
          <w:b/>
        </w:rPr>
      </w:pPr>
      <w:bookmarkStart w:id="8" w:name="_Hlk88574910"/>
      <w:r w:rsidRPr="001F2235">
        <w:rPr>
          <w:rFonts w:cs="Arial"/>
          <w:szCs w:val="24"/>
        </w:rPr>
        <w:t xml:space="preserve">This report deals with the </w:t>
      </w:r>
      <w:r w:rsidRPr="001F2235">
        <w:rPr>
          <w:rFonts w:cs="Arial"/>
        </w:rPr>
        <w:t xml:space="preserve">Treasury Management Strategy </w:t>
      </w:r>
      <w:r w:rsidRPr="001F2235">
        <w:rPr>
          <w:rFonts w:cs="Arial"/>
          <w:szCs w:val="24"/>
        </w:rPr>
        <w:t>which plays a significant part in supporting the delivery of all the Council’s corporate priorities.</w:t>
      </w:r>
      <w:bookmarkEnd w:id="8"/>
    </w:p>
    <w:p w14:paraId="5514D939" w14:textId="77777777" w:rsidR="00333FAA" w:rsidRDefault="00333FAA" w:rsidP="000B7C66">
      <w:pPr>
        <w:pStyle w:val="Heading2"/>
        <w:spacing w:before="480" w:after="240"/>
      </w:pPr>
      <w:r>
        <w:t>Section 3 - Statutory Officer Clearance</w:t>
      </w:r>
    </w:p>
    <w:p w14:paraId="3B5D52F9" w14:textId="0240A9D5" w:rsidR="00A66326" w:rsidRPr="00A66326" w:rsidRDefault="00A66326" w:rsidP="00A66326">
      <w:pPr>
        <w:rPr>
          <w:sz w:val="28"/>
        </w:rPr>
      </w:pPr>
      <w:r w:rsidRPr="00A66326">
        <w:rPr>
          <w:b/>
          <w:sz w:val="28"/>
        </w:rPr>
        <w:t xml:space="preserve">Statutory Officer:  </w:t>
      </w:r>
      <w:r w:rsidR="00647D4B">
        <w:rPr>
          <w:b/>
          <w:sz w:val="28"/>
        </w:rPr>
        <w:t>Dawn Calvert</w:t>
      </w:r>
    </w:p>
    <w:p w14:paraId="06450070" w14:textId="05C00522" w:rsidR="00A66326" w:rsidRPr="00A66326" w:rsidRDefault="00A66326" w:rsidP="00A66326">
      <w:r w:rsidRPr="00A66326">
        <w:t>Chief Financial Officer</w:t>
      </w:r>
    </w:p>
    <w:p w14:paraId="555021EF" w14:textId="3CE2BEC4" w:rsidR="00A66326" w:rsidRPr="00A66326" w:rsidRDefault="00A66326" w:rsidP="00A66326">
      <w:pPr>
        <w:spacing w:after="480"/>
        <w:rPr>
          <w:sz w:val="28"/>
        </w:rPr>
      </w:pPr>
      <w:r w:rsidRPr="00A66326">
        <w:rPr>
          <w:b/>
          <w:sz w:val="28"/>
        </w:rPr>
        <w:t xml:space="preserve">Date:  </w:t>
      </w:r>
      <w:r w:rsidR="00647D4B">
        <w:rPr>
          <w:b/>
          <w:sz w:val="28"/>
        </w:rPr>
        <w:t>30/11/2021</w:t>
      </w:r>
    </w:p>
    <w:p w14:paraId="7E329E85" w14:textId="7253B4C2" w:rsidR="00A66326" w:rsidRPr="00A66326" w:rsidRDefault="00A66326" w:rsidP="00A66326">
      <w:pPr>
        <w:rPr>
          <w:sz w:val="28"/>
        </w:rPr>
      </w:pPr>
      <w:r w:rsidRPr="00A66326">
        <w:rPr>
          <w:b/>
          <w:sz w:val="28"/>
        </w:rPr>
        <w:t xml:space="preserve">Statutory Officer:  </w:t>
      </w:r>
      <w:r w:rsidR="00FB0FDC">
        <w:rPr>
          <w:b/>
          <w:sz w:val="28"/>
        </w:rPr>
        <w:t>Jessica Farmer</w:t>
      </w:r>
    </w:p>
    <w:p w14:paraId="76E71941" w14:textId="434A54D3" w:rsidR="00A66326" w:rsidRPr="00FB0FDC" w:rsidRDefault="00A66326" w:rsidP="00FB0FDC">
      <w:r w:rsidRPr="00A66326">
        <w:t xml:space="preserve">Signed </w:t>
      </w:r>
      <w:r w:rsidR="00FB0FDC">
        <w:t>by</w:t>
      </w:r>
      <w:r w:rsidRPr="00A66326">
        <w:t xml:space="preserve"> the Monitoring Officer</w:t>
      </w:r>
    </w:p>
    <w:p w14:paraId="1AC0D358" w14:textId="0DF1F3A2" w:rsidR="00A66326" w:rsidRPr="003313EA" w:rsidRDefault="00A66326" w:rsidP="00A66326">
      <w:pPr>
        <w:spacing w:after="480"/>
        <w:rPr>
          <w:sz w:val="28"/>
        </w:rPr>
      </w:pPr>
      <w:r w:rsidRPr="00A66326">
        <w:rPr>
          <w:b/>
          <w:sz w:val="28"/>
        </w:rPr>
        <w:t xml:space="preserve">Date:  </w:t>
      </w:r>
      <w:r w:rsidR="00FB0FDC">
        <w:rPr>
          <w:b/>
          <w:sz w:val="28"/>
        </w:rPr>
        <w:t>1/12/2021</w:t>
      </w:r>
    </w:p>
    <w:p w14:paraId="31D8FA55" w14:textId="44561D47" w:rsidR="00BF5AFA" w:rsidRPr="00A66326" w:rsidRDefault="00BF5AFA" w:rsidP="00BF5AFA">
      <w:pPr>
        <w:rPr>
          <w:sz w:val="28"/>
        </w:rPr>
      </w:pPr>
      <w:r>
        <w:rPr>
          <w:b/>
          <w:sz w:val="28"/>
        </w:rPr>
        <w:t>Chief</w:t>
      </w:r>
      <w:r w:rsidRPr="00A66326">
        <w:rPr>
          <w:b/>
          <w:sz w:val="28"/>
        </w:rPr>
        <w:t xml:space="preserve"> Officer:  </w:t>
      </w:r>
      <w:r w:rsidR="00647D4B">
        <w:rPr>
          <w:b/>
          <w:sz w:val="28"/>
        </w:rPr>
        <w:t>Charlie Stewart</w:t>
      </w:r>
    </w:p>
    <w:p w14:paraId="6C086558" w14:textId="6DDEDC59" w:rsidR="00BF5AFA" w:rsidRPr="00A66326" w:rsidRDefault="00BF5AFA" w:rsidP="00BF5AFA">
      <w:r w:rsidRPr="00A66326">
        <w:t xml:space="preserve">Signed </w:t>
      </w:r>
      <w:r>
        <w:t>off by the Corporate Director</w:t>
      </w:r>
    </w:p>
    <w:p w14:paraId="5F67CDF0" w14:textId="1266DF93" w:rsidR="00BF5AFA" w:rsidRPr="00A66326" w:rsidRDefault="00BF5AFA" w:rsidP="00BF5AFA">
      <w:pPr>
        <w:spacing w:after="480"/>
        <w:rPr>
          <w:sz w:val="28"/>
        </w:rPr>
      </w:pPr>
      <w:r w:rsidRPr="00A66326">
        <w:rPr>
          <w:b/>
          <w:sz w:val="28"/>
        </w:rPr>
        <w:t xml:space="preserve">Date:  </w:t>
      </w:r>
      <w:r w:rsidR="004D0F06">
        <w:rPr>
          <w:b/>
          <w:sz w:val="28"/>
        </w:rPr>
        <w:t>30/11/2021</w:t>
      </w:r>
    </w:p>
    <w:p w14:paraId="2C546334" w14:textId="3B2F5757" w:rsidR="00BF5AFA" w:rsidRPr="00A66326" w:rsidRDefault="00BF5AFA" w:rsidP="00BF5AFA">
      <w:pPr>
        <w:rPr>
          <w:sz w:val="28"/>
        </w:rPr>
      </w:pPr>
      <w:r>
        <w:rPr>
          <w:b/>
          <w:sz w:val="28"/>
        </w:rPr>
        <w:t>Head of Procurement</w:t>
      </w:r>
      <w:r w:rsidRPr="00A66326">
        <w:rPr>
          <w:b/>
          <w:sz w:val="28"/>
        </w:rPr>
        <w:t xml:space="preserve">:  </w:t>
      </w:r>
      <w:r w:rsidR="00647D4B">
        <w:rPr>
          <w:b/>
          <w:sz w:val="28"/>
        </w:rPr>
        <w:t>Nimesh Mehta</w:t>
      </w:r>
    </w:p>
    <w:p w14:paraId="3C6E94C3" w14:textId="153D6ECB" w:rsidR="00BF5AFA" w:rsidRPr="00A66326" w:rsidRDefault="00BF5AFA" w:rsidP="00BF5AFA">
      <w:r w:rsidRPr="00A66326">
        <w:t>Signed of</w:t>
      </w:r>
      <w:r w:rsidR="008C2C66">
        <w:t>f</w:t>
      </w:r>
      <w:r w:rsidR="00647D4B">
        <w:t xml:space="preserve"> </w:t>
      </w:r>
      <w:r w:rsidRPr="00A66326">
        <w:t xml:space="preserve">by the </w:t>
      </w:r>
      <w:r>
        <w:t>Head of Procurement</w:t>
      </w:r>
    </w:p>
    <w:p w14:paraId="5A683B65" w14:textId="1E03A827" w:rsidR="00BF5AFA" w:rsidRPr="003313EA" w:rsidRDefault="00BF5AFA" w:rsidP="00BF5AFA">
      <w:pPr>
        <w:spacing w:after="480"/>
        <w:rPr>
          <w:sz w:val="28"/>
        </w:rPr>
      </w:pPr>
      <w:r w:rsidRPr="00A66326">
        <w:rPr>
          <w:b/>
          <w:sz w:val="28"/>
        </w:rPr>
        <w:lastRenderedPageBreak/>
        <w:t xml:space="preserve">Date:  </w:t>
      </w:r>
      <w:r w:rsidR="004D0F06">
        <w:rPr>
          <w:b/>
          <w:sz w:val="28"/>
        </w:rPr>
        <w:t>30/11/2021</w:t>
      </w:r>
    </w:p>
    <w:p w14:paraId="113297A5" w14:textId="41353381" w:rsidR="00BF5AFA" w:rsidRPr="00A66326" w:rsidRDefault="00BF5AFA" w:rsidP="00BF5AFA">
      <w:pPr>
        <w:rPr>
          <w:sz w:val="28"/>
        </w:rPr>
      </w:pPr>
      <w:r>
        <w:rPr>
          <w:b/>
          <w:sz w:val="28"/>
        </w:rPr>
        <w:t>Head of Internal Audit</w:t>
      </w:r>
      <w:r w:rsidRPr="00A66326">
        <w:rPr>
          <w:b/>
          <w:sz w:val="28"/>
        </w:rPr>
        <w:t xml:space="preserve">:  </w:t>
      </w:r>
      <w:r w:rsidR="00647D4B">
        <w:rPr>
          <w:b/>
          <w:sz w:val="28"/>
        </w:rPr>
        <w:t>Susan Dixson</w:t>
      </w:r>
    </w:p>
    <w:p w14:paraId="5CF04A24" w14:textId="70D01F09" w:rsidR="00BF5AFA" w:rsidRPr="00A66326" w:rsidRDefault="00BF5AFA" w:rsidP="00BF5AFA">
      <w:r w:rsidRPr="00A66326">
        <w:t>Signed of</w:t>
      </w:r>
      <w:r w:rsidR="008C2C66">
        <w:t>f</w:t>
      </w:r>
      <w:r w:rsidR="00647D4B">
        <w:t xml:space="preserve"> </w:t>
      </w:r>
      <w:r w:rsidRPr="00A66326">
        <w:t xml:space="preserve">by the </w:t>
      </w:r>
      <w:r>
        <w:t>Head of Internal Audit</w:t>
      </w:r>
    </w:p>
    <w:p w14:paraId="065BF29C" w14:textId="3DB9339E" w:rsidR="00BF5AFA" w:rsidRPr="00647D4B" w:rsidRDefault="00BF5AFA" w:rsidP="00BF5AFA">
      <w:pPr>
        <w:pStyle w:val="Heading2"/>
        <w:spacing w:after="240"/>
        <w:rPr>
          <w:rFonts w:ascii="Arial" w:hAnsi="Arial" w:cs="Times New Roman"/>
          <w:bCs w:val="0"/>
          <w:sz w:val="28"/>
          <w:szCs w:val="20"/>
        </w:rPr>
      </w:pPr>
      <w:r w:rsidRPr="00647D4B">
        <w:rPr>
          <w:rFonts w:ascii="Arial" w:hAnsi="Arial" w:cs="Times New Roman"/>
          <w:bCs w:val="0"/>
          <w:sz w:val="28"/>
          <w:szCs w:val="20"/>
        </w:rPr>
        <w:t>Date:</w:t>
      </w:r>
      <w:r w:rsidR="00647D4B" w:rsidRPr="00647D4B">
        <w:rPr>
          <w:rFonts w:ascii="Arial" w:hAnsi="Arial" w:cs="Times New Roman"/>
          <w:bCs w:val="0"/>
          <w:sz w:val="28"/>
          <w:szCs w:val="20"/>
        </w:rPr>
        <w:t xml:space="preserve"> 26/11/2021 </w:t>
      </w:r>
    </w:p>
    <w:p w14:paraId="45A19EC7" w14:textId="59434FDF" w:rsidR="003313EA" w:rsidRPr="00435B5D" w:rsidRDefault="003313EA" w:rsidP="00BF5AFA">
      <w:pPr>
        <w:pStyle w:val="Heading2"/>
        <w:spacing w:before="480" w:after="240"/>
      </w:pPr>
      <w:r>
        <w:t>Mandatory Checks</w:t>
      </w:r>
    </w:p>
    <w:p w14:paraId="64551188" w14:textId="32B326CB" w:rsidR="003313EA" w:rsidRPr="00A406F3" w:rsidRDefault="003313EA" w:rsidP="003313EA">
      <w:pPr>
        <w:pStyle w:val="Heading3"/>
        <w:ind w:left="0" w:firstLine="0"/>
        <w:jc w:val="left"/>
      </w:pPr>
      <w:r w:rsidRPr="003313EA">
        <w:t xml:space="preserve">Ward Councillors </w:t>
      </w:r>
      <w:r>
        <w:t xml:space="preserve">notified:  </w:t>
      </w:r>
      <w:r w:rsidRPr="00A406F3">
        <w:t xml:space="preserve"> NO</w:t>
      </w:r>
      <w:r w:rsidRPr="00333FAA">
        <w:t>, as it impacts on all Wards</w:t>
      </w:r>
      <w:r w:rsidRPr="00A406F3">
        <w:t xml:space="preserve"> </w:t>
      </w:r>
    </w:p>
    <w:p w14:paraId="2A2D9472" w14:textId="24886817" w:rsidR="003313EA" w:rsidRPr="00202D79" w:rsidRDefault="003313EA" w:rsidP="003313EA">
      <w:pPr>
        <w:pStyle w:val="Heading3"/>
        <w:spacing w:before="240"/>
        <w:rPr>
          <w:b w:val="0"/>
        </w:rPr>
      </w:pPr>
      <w:r w:rsidRPr="00202D79">
        <w:t>EqIA carried out:</w:t>
      </w:r>
      <w:r>
        <w:t xml:space="preserve">  </w:t>
      </w:r>
      <w:r w:rsidRPr="00202D79">
        <w:t>NO</w:t>
      </w:r>
      <w:r w:rsidR="003B45AC">
        <w:t xml:space="preserve"> – report is for information and not decision making.</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053E1131" w:rsidR="00333FAA" w:rsidRPr="005808FB" w:rsidRDefault="00333FAA" w:rsidP="00CC18AC">
      <w:pPr>
        <w:pStyle w:val="Infotext"/>
        <w:spacing w:after="240"/>
        <w:rPr>
          <w:color w:val="FF0000"/>
        </w:rPr>
      </w:pPr>
      <w:r w:rsidRPr="004E47FC">
        <w:rPr>
          <w:b/>
        </w:rPr>
        <w:t xml:space="preserve">Contact:  </w:t>
      </w:r>
      <w:r w:rsidR="00647D4B">
        <w:rPr>
          <w:bCs/>
        </w:rPr>
        <w:t xml:space="preserve">Dawn Calvert – Director of Finance &amp; Assurance, </w:t>
      </w:r>
      <w:hyperlink r:id="rId14" w:history="1">
        <w:r w:rsidR="00647D4B" w:rsidRPr="003B4180">
          <w:rPr>
            <w:rStyle w:val="Hyperlink"/>
            <w:bCs/>
          </w:rPr>
          <w:t>dawn.calvert@harrow.gov.uk</w:t>
        </w:r>
      </w:hyperlink>
      <w:r w:rsidR="00647D4B">
        <w:rPr>
          <w:bCs/>
        </w:rPr>
        <w:t xml:space="preserve">, </w:t>
      </w:r>
    </w:p>
    <w:p w14:paraId="77C58D4B" w14:textId="6942883B" w:rsidR="00333FAA" w:rsidRDefault="00333FAA" w:rsidP="00CC18AC">
      <w:pPr>
        <w:pStyle w:val="Infotext"/>
        <w:spacing w:after="240"/>
        <w:rPr>
          <w:b/>
        </w:rPr>
      </w:pPr>
      <w:r w:rsidRPr="004E47FC">
        <w:rPr>
          <w:b/>
        </w:rPr>
        <w:t xml:space="preserve">Background Papers: </w:t>
      </w:r>
      <w:r w:rsidR="005808FB">
        <w:rPr>
          <w:b/>
        </w:rPr>
        <w:t xml:space="preserve"> </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4B18357F" w14:textId="696F7B61" w:rsidR="00ED1ECB" w:rsidRDefault="00842757" w:rsidP="008C2C66">
      <w:pPr>
        <w:pStyle w:val="Infotext"/>
        <w:spacing w:before="240"/>
        <w:rPr>
          <w:rFonts w:cs="Arial"/>
          <w:i/>
          <w:color w:val="FF0000"/>
          <w:sz w:val="24"/>
          <w:szCs w:val="24"/>
          <w:lang w:eastAsia="en-GB"/>
        </w:rPr>
      </w:pPr>
      <w:r w:rsidRPr="003D78F6">
        <w:rPr>
          <w:b/>
        </w:rPr>
        <w:t xml:space="preserve">NO </w:t>
      </w:r>
    </w:p>
    <w:p w14:paraId="10C2C8D5" w14:textId="1B9F5099" w:rsidR="00ED1ECB" w:rsidRDefault="00ED1ECB">
      <w:pPr>
        <w:rPr>
          <w:rFonts w:cs="Arial"/>
          <w:i/>
          <w:color w:val="FF0000"/>
          <w:szCs w:val="24"/>
          <w:lang w:eastAsia="en-GB"/>
        </w:rPr>
      </w:pPr>
      <w:r>
        <w:rPr>
          <w:rFonts w:cs="Arial"/>
          <w:i/>
          <w:color w:val="FF0000"/>
          <w:szCs w:val="24"/>
          <w:lang w:eastAsia="en-GB"/>
        </w:rPr>
        <w:br w:type="page"/>
      </w:r>
    </w:p>
    <w:p w14:paraId="545AEEA4" w14:textId="3F81F7CC" w:rsidR="00ED1ECB" w:rsidRDefault="00ED1ECB" w:rsidP="00ED1ECB">
      <w:pPr>
        <w:contextualSpacing/>
        <w:jc w:val="both"/>
        <w:outlineLvl w:val="1"/>
        <w:rPr>
          <w:rFonts w:cs="Arial"/>
          <w:b/>
          <w:color w:val="0D0D0D" w:themeColor="text1" w:themeTint="F2"/>
          <w:sz w:val="32"/>
          <w:szCs w:val="32"/>
        </w:rPr>
      </w:pPr>
      <w:r w:rsidRPr="00C663E4">
        <w:rPr>
          <w:rFonts w:cs="Arial"/>
          <w:b/>
          <w:color w:val="0D0D0D" w:themeColor="text1" w:themeTint="F2"/>
          <w:sz w:val="32"/>
          <w:szCs w:val="32"/>
        </w:rPr>
        <w:lastRenderedPageBreak/>
        <w:t xml:space="preserve">Appendix </w:t>
      </w:r>
      <w:r>
        <w:rPr>
          <w:rFonts w:cs="Arial"/>
          <w:b/>
          <w:color w:val="0D0D0D" w:themeColor="text1" w:themeTint="F2"/>
          <w:sz w:val="32"/>
          <w:szCs w:val="32"/>
        </w:rPr>
        <w:t>1</w:t>
      </w:r>
      <w:r w:rsidRPr="00C663E4">
        <w:rPr>
          <w:rFonts w:cs="Arial"/>
          <w:b/>
          <w:color w:val="0D0D0D" w:themeColor="text1" w:themeTint="F2"/>
          <w:sz w:val="32"/>
          <w:szCs w:val="32"/>
        </w:rPr>
        <w:t xml:space="preserve"> </w:t>
      </w:r>
      <w:r>
        <w:rPr>
          <w:rFonts w:cs="Arial"/>
          <w:b/>
          <w:color w:val="0D0D0D" w:themeColor="text1" w:themeTint="F2"/>
          <w:sz w:val="32"/>
          <w:szCs w:val="32"/>
        </w:rPr>
        <w:t>Link Group Economic Commentary</w:t>
      </w:r>
    </w:p>
    <w:p w14:paraId="1A4970D6" w14:textId="77777777" w:rsidR="00ED1ECB" w:rsidRPr="002C0CFB" w:rsidRDefault="00ED1ECB" w:rsidP="00ED1ECB">
      <w:pPr>
        <w:contextualSpacing/>
        <w:jc w:val="both"/>
        <w:outlineLvl w:val="1"/>
        <w:rPr>
          <w:rFonts w:cs="Arial"/>
          <w:b/>
          <w:color w:val="0D0D0D" w:themeColor="text1" w:themeTint="F2"/>
          <w:szCs w:val="24"/>
        </w:rPr>
      </w:pPr>
      <w:r w:rsidRPr="002C0CFB">
        <w:rPr>
          <w:rFonts w:cs="Arial"/>
          <w:b/>
          <w:color w:val="0D0D0D" w:themeColor="text1" w:themeTint="F2"/>
          <w:szCs w:val="24"/>
        </w:rPr>
        <w:t>MPC meeting 4</w:t>
      </w:r>
      <w:r w:rsidRPr="002C0CFB">
        <w:rPr>
          <w:rFonts w:cs="Arial"/>
          <w:b/>
          <w:color w:val="0D0D0D" w:themeColor="text1" w:themeTint="F2"/>
          <w:szCs w:val="24"/>
          <w:vertAlign w:val="superscript"/>
        </w:rPr>
        <w:t>th</w:t>
      </w:r>
      <w:r w:rsidRPr="002C0CFB">
        <w:rPr>
          <w:rFonts w:cs="Arial"/>
          <w:b/>
          <w:color w:val="0D0D0D" w:themeColor="text1" w:themeTint="F2"/>
          <w:szCs w:val="24"/>
        </w:rPr>
        <w:t xml:space="preserve"> November 2021</w:t>
      </w:r>
    </w:p>
    <w:p w14:paraId="0E7A7BD1" w14:textId="662DC4EA" w:rsidR="00ED1ECB"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2C0CFB">
        <w:rPr>
          <w:rFonts w:eastAsia="Calibri" w:cs="Arial"/>
          <w:color w:val="0D0D0D" w:themeColor="text1" w:themeTint="F2"/>
          <w:szCs w:val="24"/>
        </w:rPr>
        <w:t>The Monetary Policy Committee (MPC) voted 7-2 to leave Bank Rate unchanged at 0.10% with two members voting for an increase to 0.25% and made no changes to its programme of quantitative easing purchases due to finish by the end of this year at a total of £895bn by a vote of 6-3.</w:t>
      </w:r>
    </w:p>
    <w:p w14:paraId="04E83BD9" w14:textId="77777777" w:rsidR="00C15DE2" w:rsidRPr="002C0CFB" w:rsidRDefault="00C15DE2" w:rsidP="00C15DE2">
      <w:pPr>
        <w:jc w:val="both"/>
        <w:rPr>
          <w:rFonts w:eastAsia="Calibri" w:cs="Arial"/>
          <w:color w:val="0D0D0D" w:themeColor="text1" w:themeTint="F2"/>
          <w:szCs w:val="24"/>
        </w:rPr>
      </w:pPr>
    </w:p>
    <w:p w14:paraId="0BECABA3" w14:textId="5C4CAA74" w:rsidR="00ED1ECB"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2C0CFB">
        <w:rPr>
          <w:rFonts w:eastAsia="Calibri" w:cs="Arial"/>
          <w:color w:val="0D0D0D" w:themeColor="text1" w:themeTint="F2"/>
          <w:szCs w:val="24"/>
        </w:rPr>
        <w:t xml:space="preserve">After the Governor and other MPC members had made speeches prior to the MPC meeting in which they stressed concerns over inflation, (the Bank is now forecasting inflation to reach 5% in April when the next round of capped gas prices will go up), thus reinforcing the strong message from the September MPC meeting, financial markets had confidently built in an expectation that Bank Rate would go up from 0.10% to 0.25% at this meeting. However, these were not messages that the MPC would definitely increase Bank Rate at the </w:t>
      </w:r>
      <w:r w:rsidRPr="00C15DE2">
        <w:rPr>
          <w:rFonts w:eastAsia="Calibri" w:cs="Arial"/>
          <w:color w:val="0D0D0D" w:themeColor="text1" w:themeTint="F2"/>
          <w:szCs w:val="24"/>
        </w:rPr>
        <w:t>first</w:t>
      </w:r>
      <w:r w:rsidRPr="002C0CFB">
        <w:rPr>
          <w:rFonts w:eastAsia="Calibri" w:cs="Arial"/>
          <w:color w:val="0D0D0D" w:themeColor="text1" w:themeTint="F2"/>
          <w:szCs w:val="24"/>
        </w:rPr>
        <w:t xml:space="preserve"> upcoming MPC meeting as no MPC member can commit the MPC to make that decision ahead of their discussions at the time. The MPC did comment, however, that Bank Rate would have to go up in the short term.</w:t>
      </w:r>
      <w:r w:rsidRPr="00C15DE2">
        <w:rPr>
          <w:rFonts w:eastAsia="Calibri" w:cs="Arial"/>
          <w:color w:val="0D0D0D" w:themeColor="text1" w:themeTint="F2"/>
          <w:szCs w:val="24"/>
        </w:rPr>
        <w:t xml:space="preserve"> </w:t>
      </w:r>
      <w:r w:rsidRPr="002C0CFB">
        <w:rPr>
          <w:rFonts w:eastAsia="Calibri" w:cs="Arial"/>
          <w:color w:val="0D0D0D" w:themeColor="text1" w:themeTint="F2"/>
          <w:szCs w:val="24"/>
        </w:rPr>
        <w:t>It is, therefore, relatively evenly balanced as to whether Bank rate will be increased in December, February or May. Much will depend on how the statistical releases for the labour market after the end of furlough on 30</w:t>
      </w:r>
      <w:r w:rsidRPr="00C15DE2">
        <w:rPr>
          <w:rFonts w:eastAsia="Calibri" w:cs="Arial"/>
          <w:color w:val="0D0D0D" w:themeColor="text1" w:themeTint="F2"/>
          <w:szCs w:val="24"/>
        </w:rPr>
        <w:t>th</w:t>
      </w:r>
      <w:r w:rsidRPr="002C0CFB">
        <w:rPr>
          <w:rFonts w:eastAsia="Calibri" w:cs="Arial"/>
          <w:color w:val="0D0D0D" w:themeColor="text1" w:themeTint="F2"/>
          <w:szCs w:val="24"/>
        </w:rPr>
        <w:t xml:space="preserve"> September 2021 turn out. </w:t>
      </w:r>
    </w:p>
    <w:p w14:paraId="04340DF1" w14:textId="77777777" w:rsidR="00C15DE2" w:rsidRPr="00C15DE2" w:rsidRDefault="00C15DE2" w:rsidP="00C15DE2">
      <w:pPr>
        <w:jc w:val="both"/>
        <w:rPr>
          <w:rFonts w:eastAsia="Calibri" w:cs="Arial"/>
          <w:color w:val="0D0D0D" w:themeColor="text1" w:themeTint="F2"/>
          <w:szCs w:val="24"/>
        </w:rPr>
      </w:pPr>
    </w:p>
    <w:p w14:paraId="11815439" w14:textId="42A9D736" w:rsidR="00ED1ECB"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2C0CFB">
        <w:rPr>
          <w:rFonts w:eastAsia="Calibri" w:cs="Arial"/>
          <w:color w:val="0D0D0D" w:themeColor="text1" w:themeTint="F2"/>
          <w:szCs w:val="24"/>
        </w:rPr>
        <w:t xml:space="preserve">Information available at the December MPC meeting will be helpful in forming a picture but not conclusive, so this could cause a delay until the February meeting. </w:t>
      </w:r>
      <w:r w:rsidRPr="00C15DE2">
        <w:rPr>
          <w:rFonts w:eastAsia="Calibri" w:cs="Arial"/>
          <w:color w:val="0D0D0D" w:themeColor="text1" w:themeTint="F2"/>
          <w:szCs w:val="24"/>
        </w:rPr>
        <w:t>At the MPC’s meeting in February it will only have available the employment figures for November: to get a clearer picture of employment trends, it would, therefore, need to wait until the May meeting (although it also meets in March) when it would have data up until February. At its May meeting, it will also have a clearer understanding of the likely peak of inflation expected around that time.</w:t>
      </w:r>
      <w:r w:rsidRPr="002C0CFB">
        <w:rPr>
          <w:rFonts w:eastAsia="Calibri" w:cs="Arial"/>
          <w:color w:val="0D0D0D" w:themeColor="text1" w:themeTint="F2"/>
          <w:szCs w:val="24"/>
        </w:rPr>
        <w:t xml:space="preserve"> If the statistics show the labour market coping well during the next six months, then it is likely there will be two increases in these three meetings.</w:t>
      </w:r>
    </w:p>
    <w:p w14:paraId="08B21574" w14:textId="77777777" w:rsidR="00C15DE2" w:rsidRPr="00C15DE2" w:rsidRDefault="00C15DE2" w:rsidP="00C15DE2">
      <w:pPr>
        <w:jc w:val="both"/>
        <w:rPr>
          <w:rFonts w:eastAsia="Calibri" w:cs="Arial"/>
          <w:color w:val="0D0D0D" w:themeColor="text1" w:themeTint="F2"/>
          <w:szCs w:val="24"/>
        </w:rPr>
      </w:pPr>
    </w:p>
    <w:p w14:paraId="67977A37" w14:textId="77777777" w:rsidR="00C15DE2"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2C0CFB">
        <w:rPr>
          <w:rFonts w:eastAsia="Calibri" w:cs="Arial"/>
          <w:color w:val="0D0D0D" w:themeColor="text1" w:themeTint="F2"/>
          <w:szCs w:val="24"/>
        </w:rPr>
        <w:t>Over the next year the MPC will be doing a delicate balancing act of weighing combating inflation being higher for longer against growth being held back by significant headwinds.  Those headwinds are due to supply shortages (pushing prices up and holding back production directly), labour shortages, surging fuel prices and tax increases.  However, those headwinds could potentially be offset – at least partially - by consumers spending at least part of the £160bn+ of “excess savings” accumulated during the pandemic.  However, it is also possible that more affluent people may be content to hold onto elevated savings and investments and, therefore, not support the economic recovery to the extent that the MPC may forecast.</w:t>
      </w:r>
    </w:p>
    <w:p w14:paraId="2988D78A" w14:textId="621F589D" w:rsidR="00ED1ECB" w:rsidRPr="002C0CFB" w:rsidRDefault="00ED1ECB" w:rsidP="00C15DE2">
      <w:pPr>
        <w:jc w:val="both"/>
        <w:rPr>
          <w:rFonts w:eastAsia="Calibri" w:cs="Arial"/>
          <w:color w:val="0D0D0D" w:themeColor="text1" w:themeTint="F2"/>
          <w:szCs w:val="24"/>
        </w:rPr>
      </w:pPr>
      <w:r w:rsidRPr="002C0CFB">
        <w:rPr>
          <w:rFonts w:eastAsia="Calibri" w:cs="Arial"/>
          <w:color w:val="0D0D0D" w:themeColor="text1" w:themeTint="F2"/>
          <w:szCs w:val="24"/>
        </w:rPr>
        <w:t xml:space="preserve"> </w:t>
      </w:r>
    </w:p>
    <w:p w14:paraId="6142BADA" w14:textId="7ADBCBAD" w:rsidR="00C15DE2" w:rsidRPr="00C15DE2"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2C0CFB">
        <w:rPr>
          <w:rFonts w:eastAsia="Calibri" w:cs="Arial"/>
          <w:color w:val="0D0D0D" w:themeColor="text1" w:themeTint="F2"/>
          <w:szCs w:val="24"/>
        </w:rPr>
        <w:t>The latest forecasts by the Bank showed inflation under-shooting the 3 years ahead 2% target (1.95%), based on market expectations of Bank Rate hitting 1% in 2022. This implies that rates don’t need to rise to market expectations of 1.0% by the end of next year.</w:t>
      </w:r>
    </w:p>
    <w:p w14:paraId="58072E90" w14:textId="77777777" w:rsidR="00C15DE2" w:rsidRDefault="00C15DE2" w:rsidP="00C15DE2">
      <w:pPr>
        <w:pStyle w:val="ListParagraph"/>
        <w:rPr>
          <w:rFonts w:eastAsia="Calibri" w:cs="Arial"/>
          <w:bCs/>
          <w:color w:val="0D0D0D" w:themeColor="text1" w:themeTint="F2"/>
          <w:szCs w:val="24"/>
        </w:rPr>
      </w:pPr>
    </w:p>
    <w:p w14:paraId="7A06999D" w14:textId="32F6AF49" w:rsidR="00ED1ECB"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C15DE2">
        <w:rPr>
          <w:rFonts w:eastAsia="Calibri" w:cs="Arial"/>
          <w:color w:val="0D0D0D" w:themeColor="text1" w:themeTint="F2"/>
          <w:szCs w:val="24"/>
        </w:rPr>
        <w:t xml:space="preserve">It is worth recalling that the MPC pointedly chose to reaffirm its commitment to the 2% inflation target in its statement after the MPC meeting in September yet </w:t>
      </w:r>
      <w:r w:rsidRPr="00C15DE2">
        <w:rPr>
          <w:rFonts w:eastAsia="Calibri" w:cs="Arial"/>
          <w:color w:val="0D0D0D" w:themeColor="text1" w:themeTint="F2"/>
          <w:szCs w:val="24"/>
        </w:rPr>
        <w:lastRenderedPageBreak/>
        <w:t>at its August meeting it had emphasised a willingness to look through inflation overshooting the target for limited periods to ensure that inflation was ‘sustainably over 2%’. On balance, once this winter is over and world demand for gas reduces - so that gas prices and electricity prices fall back - and once supply shortages of other goods are addressed, the MPC is forecasting that inflation would return to just under the 2% target.</w:t>
      </w:r>
    </w:p>
    <w:p w14:paraId="3CAF4DC6" w14:textId="77777777" w:rsidR="00C15DE2" w:rsidRPr="00C15DE2" w:rsidRDefault="00C15DE2" w:rsidP="00C15DE2">
      <w:pPr>
        <w:jc w:val="both"/>
        <w:rPr>
          <w:rFonts w:eastAsia="Calibri" w:cs="Arial"/>
          <w:color w:val="0D0D0D" w:themeColor="text1" w:themeTint="F2"/>
          <w:szCs w:val="24"/>
        </w:rPr>
      </w:pPr>
    </w:p>
    <w:p w14:paraId="6A40084E" w14:textId="77777777" w:rsidR="00ED1ECB" w:rsidRPr="00C15DE2"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C15DE2">
        <w:rPr>
          <w:rFonts w:eastAsia="Calibri" w:cs="Arial"/>
          <w:color w:val="0D0D0D" w:themeColor="text1" w:themeTint="F2"/>
          <w:szCs w:val="24"/>
        </w:rPr>
        <w:t>The MPC’s forward guidance on its intended monetary policy on raising Bank Rate versus selling (quantitative easing) holdings of bonds is as follows: -</w:t>
      </w:r>
    </w:p>
    <w:p w14:paraId="358B9B3D" w14:textId="77777777" w:rsidR="00ED1ECB" w:rsidRPr="002C0CFB" w:rsidRDefault="00ED1ECB" w:rsidP="000E0C4A">
      <w:pPr>
        <w:numPr>
          <w:ilvl w:val="1"/>
          <w:numId w:val="8"/>
        </w:numPr>
        <w:tabs>
          <w:tab w:val="clear" w:pos="1440"/>
          <w:tab w:val="num" w:pos="567"/>
        </w:tabs>
        <w:ind w:left="567" w:hanging="567"/>
        <w:jc w:val="both"/>
        <w:rPr>
          <w:rFonts w:eastAsia="Calibri" w:cs="Arial"/>
          <w:bCs/>
          <w:color w:val="0D0D0D" w:themeColor="text1" w:themeTint="F2"/>
          <w:szCs w:val="24"/>
        </w:rPr>
      </w:pPr>
      <w:r w:rsidRPr="002C0CFB">
        <w:rPr>
          <w:rFonts w:eastAsia="Calibri" w:cs="Arial"/>
          <w:bCs/>
          <w:color w:val="0D0D0D" w:themeColor="text1" w:themeTint="F2"/>
          <w:szCs w:val="24"/>
        </w:rPr>
        <w:t>Raising Bank Rate as “the active instrument in most circumstances”.</w:t>
      </w:r>
    </w:p>
    <w:p w14:paraId="47CF3326" w14:textId="77777777" w:rsidR="00ED1ECB" w:rsidRPr="002C0CFB" w:rsidRDefault="00ED1ECB" w:rsidP="000E0C4A">
      <w:pPr>
        <w:numPr>
          <w:ilvl w:val="1"/>
          <w:numId w:val="8"/>
        </w:numPr>
        <w:tabs>
          <w:tab w:val="clear" w:pos="1440"/>
          <w:tab w:val="num" w:pos="567"/>
        </w:tabs>
        <w:ind w:left="567" w:hanging="567"/>
        <w:jc w:val="both"/>
        <w:rPr>
          <w:rFonts w:eastAsia="Calibri" w:cs="Arial"/>
          <w:bCs/>
          <w:color w:val="0D0D0D" w:themeColor="text1" w:themeTint="F2"/>
          <w:szCs w:val="24"/>
        </w:rPr>
      </w:pPr>
      <w:r w:rsidRPr="002C0CFB">
        <w:rPr>
          <w:rFonts w:eastAsia="Calibri" w:cs="Arial"/>
          <w:bCs/>
          <w:color w:val="0D0D0D" w:themeColor="text1" w:themeTint="F2"/>
          <w:szCs w:val="24"/>
        </w:rPr>
        <w:t>Raising Bank Rate to 0.50% before starting on reducing its holdings.</w:t>
      </w:r>
    </w:p>
    <w:p w14:paraId="72EA1749" w14:textId="77777777" w:rsidR="00ED1ECB" w:rsidRPr="002C0CFB" w:rsidRDefault="00ED1ECB" w:rsidP="000E0C4A">
      <w:pPr>
        <w:numPr>
          <w:ilvl w:val="1"/>
          <w:numId w:val="8"/>
        </w:numPr>
        <w:tabs>
          <w:tab w:val="clear" w:pos="1440"/>
          <w:tab w:val="num" w:pos="567"/>
        </w:tabs>
        <w:ind w:left="567" w:hanging="567"/>
        <w:jc w:val="both"/>
        <w:rPr>
          <w:rFonts w:eastAsia="Calibri" w:cs="Arial"/>
          <w:bCs/>
          <w:color w:val="0D0D0D" w:themeColor="text1" w:themeTint="F2"/>
          <w:szCs w:val="24"/>
        </w:rPr>
      </w:pPr>
      <w:r w:rsidRPr="002C0CFB">
        <w:rPr>
          <w:rFonts w:eastAsia="Calibri" w:cs="Arial"/>
          <w:bCs/>
          <w:color w:val="0D0D0D" w:themeColor="text1" w:themeTint="F2"/>
          <w:szCs w:val="24"/>
        </w:rPr>
        <w:t>Once Bank Rate is at 0.50% it would stop reinvesting maturing gilts.</w:t>
      </w:r>
    </w:p>
    <w:p w14:paraId="198C4D99" w14:textId="761A0442" w:rsidR="00ED1ECB" w:rsidRDefault="00ED1ECB" w:rsidP="000E0C4A">
      <w:pPr>
        <w:numPr>
          <w:ilvl w:val="1"/>
          <w:numId w:val="8"/>
        </w:numPr>
        <w:tabs>
          <w:tab w:val="clear" w:pos="1440"/>
          <w:tab w:val="num" w:pos="567"/>
        </w:tabs>
        <w:ind w:left="567" w:hanging="567"/>
        <w:jc w:val="both"/>
        <w:rPr>
          <w:rFonts w:eastAsia="Calibri" w:cs="Arial"/>
          <w:bCs/>
          <w:color w:val="0D0D0D" w:themeColor="text1" w:themeTint="F2"/>
          <w:szCs w:val="24"/>
        </w:rPr>
      </w:pPr>
      <w:r w:rsidRPr="002C0CFB">
        <w:rPr>
          <w:rFonts w:eastAsia="Calibri" w:cs="Arial"/>
          <w:bCs/>
          <w:color w:val="0D0D0D" w:themeColor="text1" w:themeTint="F2"/>
          <w:szCs w:val="24"/>
        </w:rPr>
        <w:t>Once Bank Rate had risen to at least 1%, it would start selling its holdings.</w:t>
      </w:r>
    </w:p>
    <w:p w14:paraId="5F224020" w14:textId="77777777" w:rsidR="00C15DE2" w:rsidRPr="002C0CFB" w:rsidRDefault="00C15DE2" w:rsidP="00C15DE2">
      <w:pPr>
        <w:ind w:left="1440"/>
        <w:jc w:val="both"/>
        <w:rPr>
          <w:rFonts w:eastAsia="Calibri" w:cs="Arial"/>
          <w:bCs/>
          <w:color w:val="0D0D0D" w:themeColor="text1" w:themeTint="F2"/>
          <w:szCs w:val="24"/>
        </w:rPr>
      </w:pPr>
    </w:p>
    <w:p w14:paraId="3689A6A6" w14:textId="77777777" w:rsidR="00ED1ECB" w:rsidRPr="002C0CFB"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444B76">
        <w:rPr>
          <w:rFonts w:eastAsia="Calibri" w:cs="Arial"/>
          <w:color w:val="0D0D0D" w:themeColor="text1" w:themeTint="F2"/>
          <w:szCs w:val="24"/>
        </w:rPr>
        <w:t>Gilt yields</w:t>
      </w:r>
      <w:r w:rsidRPr="002C0CFB">
        <w:rPr>
          <w:rFonts w:eastAsia="Calibri" w:cs="Arial"/>
          <w:color w:val="0D0D0D" w:themeColor="text1" w:themeTint="F2"/>
          <w:szCs w:val="24"/>
        </w:rPr>
        <w:t xml:space="preserve"> fell after the budget led to a reduction of £57.8bn in the forecast by the OBR for the deficit this year and a cancellation of nearly all gilt sales for the remainder of the financial year. There is a delicate balancing act in forecasting gilt yields and PWLB rates over the forecast period as when Bank Rate does increase to 0.50%, the Bank will stop reinvesting maturing gilts – but at a time when the size of gilt sales has just been slashed in the budget.</w:t>
      </w:r>
    </w:p>
    <w:p w14:paraId="59CAED65" w14:textId="77777777" w:rsidR="00ED1ECB" w:rsidRPr="002C0CFB" w:rsidRDefault="00ED1ECB" w:rsidP="00ED1ECB">
      <w:pPr>
        <w:ind w:left="1440"/>
        <w:jc w:val="both"/>
        <w:rPr>
          <w:rFonts w:eastAsia="Calibri" w:cs="Arial"/>
          <w:bCs/>
          <w:color w:val="0D0D0D" w:themeColor="text1" w:themeTint="F2"/>
          <w:szCs w:val="24"/>
        </w:rPr>
      </w:pPr>
    </w:p>
    <w:p w14:paraId="59021348" w14:textId="77777777" w:rsidR="00ED1ECB" w:rsidRPr="002C0CFB" w:rsidRDefault="00ED1ECB" w:rsidP="00ED1ECB">
      <w:pPr>
        <w:pStyle w:val="ListNumber"/>
        <w:numPr>
          <w:ilvl w:val="0"/>
          <w:numId w:val="0"/>
        </w:numPr>
        <w:spacing w:before="0" w:after="0"/>
        <w:jc w:val="both"/>
        <w:rPr>
          <w:rFonts w:cs="Arial"/>
          <w:b/>
          <w:color w:val="0D0D0D"/>
          <w:sz w:val="24"/>
          <w:szCs w:val="24"/>
        </w:rPr>
      </w:pPr>
      <w:r w:rsidRPr="002C0CFB">
        <w:rPr>
          <w:rFonts w:cs="Arial"/>
          <w:b/>
          <w:color w:val="0D0D0D"/>
          <w:sz w:val="24"/>
          <w:szCs w:val="24"/>
        </w:rPr>
        <w:t>Our forecasts for Bank Rate</w:t>
      </w:r>
    </w:p>
    <w:p w14:paraId="3FAA97F5" w14:textId="77777777" w:rsidR="00ED1ECB" w:rsidRPr="00C15DE2"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C15DE2">
        <w:rPr>
          <w:rFonts w:eastAsia="Calibri" w:cs="Arial"/>
          <w:color w:val="0D0D0D" w:themeColor="text1" w:themeTint="F2"/>
          <w:szCs w:val="24"/>
        </w:rPr>
        <w:t>We are not expecting Bank Rate to go up fast after the initial rate rise; our view is that the supply potential of the economy has not taken a major hit during the pandemic: it should, therefore, be able to cope well with meeting demand after supply shortages subside over the next year, without causing inflation to remain elevated in the medium-term, or to inhibit inflation from falling back towards the MPC’s 2% target after the spike up to 5%. We are therefore forecasting five increases in Bank Rate over the forecast period to March 2025, ending at 1.25%. However, we are far from confident that these forecasts will not need changing within a relatively short timeframe for the following reasons: -</w:t>
      </w:r>
    </w:p>
    <w:p w14:paraId="0E9473F0" w14:textId="77777777" w:rsidR="00ED1ECB" w:rsidRPr="002C0CFB" w:rsidRDefault="00ED1ECB" w:rsidP="00C15DE2">
      <w:pPr>
        <w:pStyle w:val="ListParagraph"/>
        <w:numPr>
          <w:ilvl w:val="0"/>
          <w:numId w:val="9"/>
        </w:numPr>
        <w:ind w:left="567" w:hanging="567"/>
        <w:contextualSpacing/>
        <w:jc w:val="both"/>
        <w:rPr>
          <w:rFonts w:eastAsia="Calibri" w:cs="Arial"/>
          <w:bCs/>
          <w:color w:val="0D0D0D" w:themeColor="text1" w:themeTint="F2"/>
          <w:szCs w:val="24"/>
        </w:rPr>
      </w:pPr>
      <w:r w:rsidRPr="002C0CFB">
        <w:rPr>
          <w:rFonts w:eastAsia="Calibri" w:cs="Arial"/>
          <w:bCs/>
          <w:color w:val="0D0D0D" w:themeColor="text1" w:themeTint="F2"/>
          <w:szCs w:val="24"/>
        </w:rPr>
        <w:t>There are increasing grounds for viewing the economic recovery as running out of steam during the summer and now into the autumn. This could lead into stagflation which would create a dilemma for the MPC as to whether to focus on combating inflation or supporting economic growth through keeping interest rates low.</w:t>
      </w:r>
    </w:p>
    <w:p w14:paraId="7030812C" w14:textId="77777777" w:rsidR="00ED1ECB" w:rsidRPr="002C0CFB" w:rsidRDefault="00ED1ECB" w:rsidP="00C15DE2">
      <w:pPr>
        <w:pStyle w:val="ListParagraph"/>
        <w:numPr>
          <w:ilvl w:val="0"/>
          <w:numId w:val="9"/>
        </w:numPr>
        <w:ind w:left="567" w:hanging="567"/>
        <w:contextualSpacing/>
        <w:jc w:val="both"/>
        <w:rPr>
          <w:rFonts w:eastAsia="Calibri" w:cs="Arial"/>
          <w:bCs/>
          <w:color w:val="0D0D0D" w:themeColor="text1" w:themeTint="F2"/>
          <w:szCs w:val="24"/>
        </w:rPr>
      </w:pPr>
      <w:r w:rsidRPr="002C0CFB">
        <w:rPr>
          <w:rFonts w:eastAsia="Calibri" w:cs="Arial"/>
          <w:bCs/>
          <w:color w:val="0D0D0D" w:themeColor="text1" w:themeTint="F2"/>
          <w:szCs w:val="24"/>
        </w:rPr>
        <w:t>Will some current key supply shortages spill over into causing economic activity in some sectors to take a significant hit?</w:t>
      </w:r>
    </w:p>
    <w:p w14:paraId="0FD85DAA" w14:textId="77777777" w:rsidR="00ED1ECB" w:rsidRPr="002C0CFB" w:rsidRDefault="00ED1ECB" w:rsidP="00C15DE2">
      <w:pPr>
        <w:pStyle w:val="ListParagraph"/>
        <w:numPr>
          <w:ilvl w:val="0"/>
          <w:numId w:val="9"/>
        </w:numPr>
        <w:ind w:left="567" w:hanging="567"/>
        <w:contextualSpacing/>
        <w:jc w:val="both"/>
        <w:rPr>
          <w:rFonts w:eastAsia="Calibri" w:cs="Arial"/>
          <w:bCs/>
          <w:color w:val="0D0D0D" w:themeColor="text1" w:themeTint="F2"/>
          <w:szCs w:val="24"/>
        </w:rPr>
      </w:pPr>
      <w:r w:rsidRPr="002C0CFB">
        <w:rPr>
          <w:rFonts w:eastAsia="Calibri" w:cs="Arial"/>
          <w:bCs/>
          <w:color w:val="0D0D0D" w:themeColor="text1" w:themeTint="F2"/>
          <w:szCs w:val="24"/>
        </w:rPr>
        <w:t xml:space="preserve">Rising gas and electricity prices in October and next April and increases in other prices caused by supply shortages and increases in taxation next April, are already going to deflate consumer spending power without the MPC having to take any action on Bank Rate to cool inflation. </w:t>
      </w:r>
    </w:p>
    <w:p w14:paraId="7A8DECCA" w14:textId="77777777" w:rsidR="00ED1ECB" w:rsidRPr="002C0CFB" w:rsidRDefault="00ED1ECB" w:rsidP="00C15DE2">
      <w:pPr>
        <w:pStyle w:val="ListParagraph"/>
        <w:numPr>
          <w:ilvl w:val="0"/>
          <w:numId w:val="9"/>
        </w:numPr>
        <w:ind w:left="567" w:hanging="567"/>
        <w:contextualSpacing/>
        <w:jc w:val="both"/>
        <w:rPr>
          <w:rFonts w:eastAsia="Calibri" w:cs="Arial"/>
          <w:bCs/>
          <w:color w:val="0D0D0D" w:themeColor="text1" w:themeTint="F2"/>
          <w:szCs w:val="24"/>
        </w:rPr>
      </w:pPr>
      <w:r w:rsidRPr="002C0CFB">
        <w:rPr>
          <w:rFonts w:eastAsia="Calibri" w:cs="Arial"/>
          <w:bCs/>
          <w:color w:val="0D0D0D" w:themeColor="text1" w:themeTint="F2"/>
          <w:szCs w:val="24"/>
        </w:rPr>
        <w:t>On the other hand, consumers are sitting on over £160bn of excess savings left over from the pandemic so when will they spend this sum, in part or in total?</w:t>
      </w:r>
    </w:p>
    <w:p w14:paraId="31C1FDC4" w14:textId="77777777" w:rsidR="00ED1ECB" w:rsidRPr="002C0CFB" w:rsidRDefault="00ED1ECB" w:rsidP="00C15DE2">
      <w:pPr>
        <w:pStyle w:val="ListParagraph"/>
        <w:numPr>
          <w:ilvl w:val="0"/>
          <w:numId w:val="9"/>
        </w:numPr>
        <w:ind w:left="567" w:hanging="567"/>
        <w:contextualSpacing/>
        <w:jc w:val="both"/>
        <w:rPr>
          <w:rFonts w:eastAsia="Calibri" w:cs="Arial"/>
          <w:bCs/>
          <w:color w:val="0D0D0D" w:themeColor="text1" w:themeTint="F2"/>
          <w:szCs w:val="24"/>
        </w:rPr>
      </w:pPr>
      <w:r w:rsidRPr="002C0CFB">
        <w:rPr>
          <w:rFonts w:eastAsia="Calibri" w:cs="Arial"/>
          <w:bCs/>
          <w:color w:val="0D0D0D" w:themeColor="text1" w:themeTint="F2"/>
          <w:szCs w:val="24"/>
        </w:rPr>
        <w:t>It is estimated that there were around 1 million people who came off furlough at the end of September; how many of those would not have had jobs on 1</w:t>
      </w:r>
      <w:r w:rsidRPr="00C15DE2">
        <w:rPr>
          <w:rFonts w:eastAsia="Calibri" w:cs="Arial"/>
          <w:bCs/>
          <w:color w:val="0D0D0D" w:themeColor="text1" w:themeTint="F2"/>
          <w:szCs w:val="24"/>
        </w:rPr>
        <w:t>st</w:t>
      </w:r>
      <w:r w:rsidRPr="002C0CFB">
        <w:rPr>
          <w:rFonts w:eastAsia="Calibri" w:cs="Arial"/>
          <w:bCs/>
          <w:color w:val="0D0D0D" w:themeColor="text1" w:themeTint="F2"/>
          <w:szCs w:val="24"/>
        </w:rPr>
        <w:t xml:space="preserve"> October and would therefore be available to fill labour shortages which are creating a major headache in many sectors of the economy? So, supply shortages which have been driving up both wages </w:t>
      </w:r>
      <w:r w:rsidRPr="002C0CFB">
        <w:rPr>
          <w:rFonts w:eastAsia="Calibri" w:cs="Arial"/>
          <w:bCs/>
          <w:color w:val="0D0D0D" w:themeColor="text1" w:themeTint="F2"/>
          <w:szCs w:val="24"/>
        </w:rPr>
        <w:lastRenderedPageBreak/>
        <w:t>and costs, could reduce significantly within the next six months or so and alleviate one of the MPC’s key current concerns.</w:t>
      </w:r>
    </w:p>
    <w:p w14:paraId="7A310FC2" w14:textId="77777777" w:rsidR="00ED1ECB" w:rsidRPr="002C0CFB" w:rsidRDefault="00ED1ECB" w:rsidP="00C15DE2">
      <w:pPr>
        <w:pStyle w:val="ListParagraph"/>
        <w:numPr>
          <w:ilvl w:val="0"/>
          <w:numId w:val="9"/>
        </w:numPr>
        <w:ind w:left="567" w:hanging="567"/>
        <w:contextualSpacing/>
        <w:jc w:val="both"/>
        <w:rPr>
          <w:rFonts w:eastAsia="Calibri" w:cs="Arial"/>
          <w:bCs/>
          <w:color w:val="0D0D0D" w:themeColor="text1" w:themeTint="F2"/>
          <w:szCs w:val="24"/>
        </w:rPr>
      </w:pPr>
      <w:r w:rsidRPr="002C0CFB">
        <w:rPr>
          <w:rFonts w:eastAsia="Calibri" w:cs="Arial"/>
          <w:bCs/>
          <w:color w:val="0D0D0D" w:themeColor="text1" w:themeTint="F2"/>
          <w:szCs w:val="24"/>
        </w:rPr>
        <w:t>We also recognise there could be further nasty surprises on the Covid front, on top of the flu season this winter, and even the possibility of another lockdown, which could all depress economic activity.</w:t>
      </w:r>
    </w:p>
    <w:p w14:paraId="47367139" w14:textId="77777777" w:rsidR="00ED1ECB" w:rsidRPr="002C0CFB" w:rsidRDefault="00ED1ECB" w:rsidP="00C15DE2">
      <w:pPr>
        <w:pStyle w:val="ListParagraph"/>
        <w:numPr>
          <w:ilvl w:val="0"/>
          <w:numId w:val="9"/>
        </w:numPr>
        <w:ind w:left="567" w:hanging="567"/>
        <w:contextualSpacing/>
        <w:jc w:val="both"/>
        <w:rPr>
          <w:rFonts w:eastAsia="Calibri" w:cs="Arial"/>
          <w:bCs/>
          <w:color w:val="0D0D0D" w:themeColor="text1" w:themeTint="F2"/>
          <w:szCs w:val="24"/>
        </w:rPr>
      </w:pPr>
      <w:r w:rsidRPr="002C0CFB">
        <w:rPr>
          <w:rFonts w:eastAsia="Calibri" w:cs="Arial"/>
          <w:bCs/>
          <w:color w:val="0D0D0D" w:themeColor="text1" w:themeTint="F2"/>
          <w:szCs w:val="24"/>
        </w:rPr>
        <w:t>If the UK invokes article 16 of the Brexit deal over the dislocation in trading arrangements with Northern Ireland, this has the potential to end up in a no deal Brexit.</w:t>
      </w:r>
    </w:p>
    <w:p w14:paraId="0EA27958" w14:textId="77777777" w:rsidR="00ED1ECB" w:rsidRPr="002C0CFB" w:rsidRDefault="00ED1ECB" w:rsidP="00ED1ECB">
      <w:pPr>
        <w:jc w:val="both"/>
        <w:rPr>
          <w:rFonts w:eastAsia="Calibri" w:cs="Arial"/>
          <w:bCs/>
          <w:color w:val="0D0D0D" w:themeColor="text1" w:themeTint="F2"/>
          <w:szCs w:val="24"/>
        </w:rPr>
      </w:pPr>
    </w:p>
    <w:p w14:paraId="0A15CC16" w14:textId="77777777" w:rsidR="00ED1ECB" w:rsidRPr="00C15DE2"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C15DE2">
        <w:rPr>
          <w:rFonts w:eastAsia="Calibri" w:cs="Arial"/>
          <w:color w:val="0D0D0D" w:themeColor="text1" w:themeTint="F2"/>
          <w:szCs w:val="24"/>
        </w:rPr>
        <w:t>In summary, with the high level of uncertainty prevailing on several different fronts, we expect to have to revise our forecasts again - in line with what the new news is.</w:t>
      </w:r>
    </w:p>
    <w:p w14:paraId="0143146E" w14:textId="77777777" w:rsidR="00ED1ECB" w:rsidRPr="002C0CFB" w:rsidRDefault="00ED1ECB" w:rsidP="00ED1ECB">
      <w:pPr>
        <w:jc w:val="both"/>
        <w:rPr>
          <w:rFonts w:eastAsia="Calibri" w:cs="Arial"/>
          <w:bCs/>
          <w:color w:val="0D0D0D" w:themeColor="text1" w:themeTint="F2"/>
          <w:szCs w:val="24"/>
        </w:rPr>
      </w:pPr>
    </w:p>
    <w:p w14:paraId="0573686D" w14:textId="77777777" w:rsidR="00ED1ECB" w:rsidRPr="00C15DE2"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C15DE2">
        <w:rPr>
          <w:rFonts w:eastAsia="Calibri" w:cs="Arial"/>
          <w:color w:val="0D0D0D" w:themeColor="text1" w:themeTint="F2"/>
          <w:szCs w:val="24"/>
        </w:rPr>
        <w:t xml:space="preserve">It should also be borne in mind that Bank Rate being cut to 0.10% was an emergency measure to deal with the Covid crisis hitting the UK in March 2020. At any time, the MPC could decide to simply take away that final emergency cut from 0.25% to 0.10% on no other grounds than it being no longer being warranted and as a step forward in the return to normalisation. In addition, any Bank Rate under 1% is both highly unusual and highly supportive of economic growth. </w:t>
      </w:r>
    </w:p>
    <w:p w14:paraId="3779D45F" w14:textId="77777777" w:rsidR="00ED1ECB" w:rsidRPr="002C0CFB" w:rsidRDefault="00ED1ECB" w:rsidP="00ED1ECB">
      <w:pPr>
        <w:pStyle w:val="ListNumber"/>
        <w:numPr>
          <w:ilvl w:val="0"/>
          <w:numId w:val="0"/>
        </w:numPr>
        <w:spacing w:before="0" w:after="0"/>
        <w:jc w:val="both"/>
        <w:rPr>
          <w:rFonts w:cs="Arial"/>
          <w:b/>
          <w:color w:val="000000" w:themeColor="text1"/>
          <w:sz w:val="24"/>
          <w:szCs w:val="24"/>
        </w:rPr>
      </w:pPr>
    </w:p>
    <w:p w14:paraId="57D51D61" w14:textId="77777777" w:rsidR="00ED1ECB" w:rsidRPr="002C0CFB" w:rsidRDefault="00ED1ECB" w:rsidP="00ED1ECB">
      <w:pPr>
        <w:pStyle w:val="ListNumber"/>
        <w:numPr>
          <w:ilvl w:val="0"/>
          <w:numId w:val="0"/>
        </w:numPr>
        <w:spacing w:before="0" w:after="0"/>
        <w:jc w:val="both"/>
        <w:rPr>
          <w:rFonts w:cs="Arial"/>
          <w:b/>
          <w:color w:val="000000" w:themeColor="text1"/>
          <w:sz w:val="24"/>
          <w:szCs w:val="24"/>
        </w:rPr>
      </w:pPr>
      <w:r w:rsidRPr="002C0CFB">
        <w:rPr>
          <w:rFonts w:cs="Arial"/>
          <w:b/>
          <w:color w:val="000000" w:themeColor="text1"/>
          <w:sz w:val="24"/>
          <w:szCs w:val="24"/>
        </w:rPr>
        <w:t>Our forecasts for PWLB rates and gilt and treasury yields</w:t>
      </w:r>
    </w:p>
    <w:p w14:paraId="25D4FD2A" w14:textId="77777777" w:rsidR="00ED1ECB" w:rsidRPr="00C15DE2"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C15DE2">
        <w:rPr>
          <w:rFonts w:eastAsia="Calibri" w:cs="Arial"/>
          <w:color w:val="0D0D0D" w:themeColor="text1" w:themeTint="F2"/>
          <w:szCs w:val="24"/>
        </w:rPr>
        <w:t>Gilt yields. Since the start of 2021, we have seen a lot of volatility in gilt yields, and hence PWLB rates. During September, gilt yields from 5 – 50 years rose steadily and rose further after the hawkish tone of the MPC’s minutes on 23rd September. Gilt yields then fell sharply after the Budget on 27th October cancelled nearly all gilt sales until the end of the financial year.  Our forecasts show a steady, but slow, rise in both Bank Rate and gilt yields during the forecast period to March 2025.</w:t>
      </w:r>
    </w:p>
    <w:p w14:paraId="7700EF73" w14:textId="77777777" w:rsidR="00ED1ECB" w:rsidRPr="002C0CFB" w:rsidRDefault="00ED1ECB" w:rsidP="00ED1ECB">
      <w:pPr>
        <w:pStyle w:val="ListNumber"/>
        <w:numPr>
          <w:ilvl w:val="0"/>
          <w:numId w:val="0"/>
        </w:numPr>
        <w:spacing w:before="0" w:after="0"/>
        <w:jc w:val="both"/>
        <w:rPr>
          <w:rFonts w:cs="Arial"/>
          <w:color w:val="0D0D0D"/>
          <w:sz w:val="24"/>
          <w:szCs w:val="24"/>
        </w:rPr>
      </w:pPr>
      <w:r w:rsidRPr="002C0CFB">
        <w:rPr>
          <w:rFonts w:cs="Arial"/>
          <w:color w:val="0D0D0D"/>
          <w:sz w:val="24"/>
          <w:szCs w:val="24"/>
        </w:rPr>
        <w:t xml:space="preserve">   </w:t>
      </w:r>
    </w:p>
    <w:p w14:paraId="79EEFBA5" w14:textId="77777777" w:rsidR="00ED1ECB" w:rsidRPr="00C15DE2" w:rsidRDefault="00ED1ECB" w:rsidP="00C15DE2">
      <w:pPr>
        <w:numPr>
          <w:ilvl w:val="0"/>
          <w:numId w:val="7"/>
        </w:numPr>
        <w:tabs>
          <w:tab w:val="clear" w:pos="720"/>
          <w:tab w:val="num" w:pos="0"/>
        </w:tabs>
        <w:ind w:left="0" w:hanging="567"/>
        <w:jc w:val="both"/>
        <w:rPr>
          <w:rFonts w:eastAsia="Calibri" w:cs="Arial"/>
          <w:color w:val="0D0D0D" w:themeColor="text1" w:themeTint="F2"/>
          <w:szCs w:val="24"/>
        </w:rPr>
      </w:pPr>
      <w:r w:rsidRPr="00C15DE2">
        <w:rPr>
          <w:rFonts w:eastAsia="Calibri" w:cs="Arial"/>
          <w:color w:val="0D0D0D" w:themeColor="text1" w:themeTint="F2"/>
          <w:szCs w:val="24"/>
        </w:rPr>
        <w:t xml:space="preserve">While monetary policy in the UK will have a major impact on gilt yields, there is also a need to consider the potential impact that rising treasury yields in America could have on our gilt yields.  </w:t>
      </w:r>
      <w:bookmarkStart w:id="9" w:name="_Hlk87284668"/>
      <w:r w:rsidRPr="00C15DE2">
        <w:rPr>
          <w:rFonts w:eastAsia="Calibri" w:cs="Arial"/>
          <w:color w:val="0D0D0D" w:themeColor="text1" w:themeTint="F2"/>
          <w:szCs w:val="24"/>
        </w:rPr>
        <w:t>As an average since 2011, there has been a 75% correlation between movements in US 10 year treasury yields and UK 10 year gilt yields. This is a significant UPWARD RISK exposure to our forecasts for longer term PWLB rates. However, gilt yields and treasury yields do not always move in unison.</w:t>
      </w:r>
    </w:p>
    <w:bookmarkEnd w:id="9"/>
    <w:p w14:paraId="6038E64B" w14:textId="77777777" w:rsidR="00ED1ECB" w:rsidRPr="002C0CFB" w:rsidRDefault="00ED1ECB" w:rsidP="00ED1ECB">
      <w:pPr>
        <w:pStyle w:val="ListNumber"/>
        <w:numPr>
          <w:ilvl w:val="0"/>
          <w:numId w:val="0"/>
        </w:numPr>
        <w:spacing w:before="0" w:after="0"/>
        <w:jc w:val="both"/>
        <w:rPr>
          <w:rFonts w:cs="Arial"/>
          <w:color w:val="0D0D0D"/>
          <w:sz w:val="24"/>
          <w:szCs w:val="24"/>
        </w:rPr>
      </w:pPr>
    </w:p>
    <w:p w14:paraId="01E7C71B"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 xml:space="preserve">US treasury yields.  During the first part of the year, US President Biden’s, and the Democratic party’s, determination to push through a $1.9trn (equivalent to 8.8% of GDP) fiscal boost for the US economy as a recovery package from the Covid pandemic was what unsettled financial markets. However, this was in addition to the $900bn support package already passed in December 2020. This was then followed by additional Democratic ambition to spend $1trn on infrastructure, which has just been passed by both houses, and an even larger sum on an American families plan over the next decade; this is still caught up in Democrat / Republican haggling.  Financial markets were alarmed that all this stimulus was happening at a time when: </w:t>
      </w:r>
    </w:p>
    <w:p w14:paraId="33CE13F3" w14:textId="77777777" w:rsidR="00ED1ECB" w:rsidRPr="002C0CFB" w:rsidRDefault="00ED1ECB" w:rsidP="000E0C4A">
      <w:pPr>
        <w:pStyle w:val="ListNumber"/>
        <w:numPr>
          <w:ilvl w:val="0"/>
          <w:numId w:val="16"/>
        </w:numPr>
        <w:spacing w:before="0" w:after="0"/>
        <w:ind w:left="567" w:hanging="567"/>
        <w:jc w:val="both"/>
        <w:rPr>
          <w:rFonts w:cs="Arial"/>
          <w:color w:val="0D0D0D"/>
          <w:sz w:val="24"/>
          <w:szCs w:val="24"/>
        </w:rPr>
      </w:pPr>
      <w:r w:rsidRPr="002C0CFB">
        <w:rPr>
          <w:rFonts w:cs="Arial"/>
          <w:color w:val="0D0D0D"/>
          <w:sz w:val="24"/>
          <w:szCs w:val="24"/>
        </w:rPr>
        <w:t>A fast vaccination programme has enabled a rapid opening up of the economy.</w:t>
      </w:r>
    </w:p>
    <w:p w14:paraId="03E03384" w14:textId="77777777" w:rsidR="00ED1ECB" w:rsidRPr="002C0CFB" w:rsidRDefault="00ED1ECB" w:rsidP="000E0C4A">
      <w:pPr>
        <w:pStyle w:val="ListNumber"/>
        <w:numPr>
          <w:ilvl w:val="0"/>
          <w:numId w:val="16"/>
        </w:numPr>
        <w:spacing w:before="0" w:after="0"/>
        <w:ind w:left="567" w:hanging="567"/>
        <w:jc w:val="both"/>
        <w:rPr>
          <w:rFonts w:cs="Arial"/>
          <w:color w:val="0D0D0D"/>
          <w:sz w:val="24"/>
          <w:szCs w:val="24"/>
        </w:rPr>
      </w:pPr>
      <w:r w:rsidRPr="002C0CFB">
        <w:rPr>
          <w:rFonts w:cs="Arial"/>
          <w:color w:val="0D0D0D"/>
          <w:sz w:val="24"/>
          <w:szCs w:val="24"/>
        </w:rPr>
        <w:t>The economy has been growing strongly during 2021.</w:t>
      </w:r>
    </w:p>
    <w:p w14:paraId="4B24F817" w14:textId="77777777" w:rsidR="00ED1ECB" w:rsidRPr="002C0CFB" w:rsidRDefault="00ED1ECB" w:rsidP="000E0C4A">
      <w:pPr>
        <w:pStyle w:val="ListNumber"/>
        <w:numPr>
          <w:ilvl w:val="0"/>
          <w:numId w:val="16"/>
        </w:numPr>
        <w:spacing w:before="0" w:after="0"/>
        <w:ind w:left="567" w:hanging="567"/>
        <w:jc w:val="both"/>
        <w:rPr>
          <w:rFonts w:cs="Arial"/>
          <w:color w:val="0D0D0D"/>
          <w:sz w:val="24"/>
          <w:szCs w:val="24"/>
        </w:rPr>
      </w:pPr>
      <w:r w:rsidRPr="002C0CFB">
        <w:rPr>
          <w:rFonts w:cs="Arial"/>
          <w:color w:val="0D0D0D"/>
          <w:sz w:val="24"/>
          <w:szCs w:val="24"/>
        </w:rPr>
        <w:lastRenderedPageBreak/>
        <w:t>It started from a position of little spare capacity due to less severe lockdown measures than in many other countries.</w:t>
      </w:r>
    </w:p>
    <w:p w14:paraId="644E597A" w14:textId="77777777" w:rsidR="00ED1ECB" w:rsidRPr="002C0CFB" w:rsidRDefault="00ED1ECB" w:rsidP="000E0C4A">
      <w:pPr>
        <w:pStyle w:val="ListNumber"/>
        <w:numPr>
          <w:ilvl w:val="0"/>
          <w:numId w:val="16"/>
        </w:numPr>
        <w:spacing w:before="0" w:after="0"/>
        <w:ind w:left="567" w:hanging="567"/>
        <w:jc w:val="both"/>
        <w:rPr>
          <w:rFonts w:cs="Arial"/>
          <w:color w:val="0D0D0D"/>
          <w:sz w:val="24"/>
          <w:szCs w:val="24"/>
        </w:rPr>
      </w:pPr>
      <w:r w:rsidRPr="002C0CFB">
        <w:rPr>
          <w:rFonts w:cs="Arial"/>
          <w:color w:val="0D0D0D"/>
          <w:sz w:val="24"/>
          <w:szCs w:val="24"/>
        </w:rPr>
        <w:t>And the Fed was still providing stimulus through monthly QE purchases.</w:t>
      </w:r>
    </w:p>
    <w:p w14:paraId="2CCB9655" w14:textId="77777777" w:rsidR="00ED1ECB" w:rsidRPr="002C0CFB" w:rsidRDefault="00ED1ECB" w:rsidP="00ED1ECB">
      <w:pPr>
        <w:pStyle w:val="ListNumber"/>
        <w:numPr>
          <w:ilvl w:val="0"/>
          <w:numId w:val="0"/>
        </w:numPr>
        <w:spacing w:before="0" w:after="0"/>
        <w:ind w:left="720"/>
        <w:jc w:val="both"/>
        <w:rPr>
          <w:rFonts w:cs="Arial"/>
          <w:color w:val="0D0D0D"/>
          <w:sz w:val="24"/>
          <w:szCs w:val="24"/>
        </w:rPr>
      </w:pPr>
    </w:p>
    <w:p w14:paraId="1952FBC5"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 xml:space="preserve">These factors could cause an excess of demand in the economy which could then unleash strong inflationary pressures. This could then force the Fed to take much earlier action to start increasing the Fed rate from near zero, despite their stated policy being to target average inflation. </w:t>
      </w:r>
    </w:p>
    <w:p w14:paraId="1F917395" w14:textId="77777777" w:rsidR="00ED1ECB" w:rsidRPr="002C0CFB" w:rsidRDefault="00ED1ECB" w:rsidP="00ED1ECB">
      <w:pPr>
        <w:pStyle w:val="ListNumber"/>
        <w:numPr>
          <w:ilvl w:val="0"/>
          <w:numId w:val="0"/>
        </w:numPr>
        <w:spacing w:before="0" w:after="0"/>
        <w:jc w:val="both"/>
        <w:rPr>
          <w:rFonts w:cs="Arial"/>
          <w:color w:val="0D0D0D"/>
          <w:sz w:val="24"/>
          <w:szCs w:val="24"/>
        </w:rPr>
      </w:pPr>
    </w:p>
    <w:p w14:paraId="5292C3FA" w14:textId="77777777" w:rsid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 xml:space="preserve">At its 3rd November Fed meeting, the Fed decided to make a start on tapering QE purchases with the current $80bn per month of Treasury securities to be trimmed by $10bn in November and a further $10bn in December. The $40bn of MBS purchases per month will be trimmed by $5bn in each month. If the run-down continued at that pace, the purchases would cease entirely next June but the Fed has reserved the ability to adjust purchases up or down. This met market expectations. These purchases are currently acting as downward pressure on treasury yields and so it would be expected that Treasury yields would rise as a consequence over the taper period, all other things being equal. </w:t>
      </w:r>
    </w:p>
    <w:p w14:paraId="2A0BEBC1" w14:textId="39FDA43E" w:rsidR="00ED1ECB" w:rsidRPr="000E0C4A" w:rsidRDefault="00ED1ECB" w:rsidP="000E0C4A">
      <w:pPr>
        <w:jc w:val="both"/>
        <w:rPr>
          <w:rFonts w:eastAsia="Calibri" w:cs="Arial"/>
          <w:color w:val="0D0D0D" w:themeColor="text1" w:themeTint="F2"/>
          <w:szCs w:val="24"/>
        </w:rPr>
      </w:pPr>
      <w:r w:rsidRPr="000E0C4A">
        <w:rPr>
          <w:rFonts w:eastAsia="Calibri" w:cs="Arial"/>
          <w:color w:val="0D0D0D" w:themeColor="text1" w:themeTint="F2"/>
          <w:szCs w:val="24"/>
        </w:rPr>
        <w:t xml:space="preserve"> </w:t>
      </w:r>
    </w:p>
    <w:p w14:paraId="26600FAD" w14:textId="202913F3" w:rsidR="00ED1ECB"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However, on the inflation front it was still insisting that the surge in inflation was "largely" transitory. In his post-meeting press conference, Chair Jerome Powell claimed that “the drivers of higher inflation have been predominantly connected to the dislocations caused by the pandemic” and argued that the Fed’s tools cannot address supply constraints. However, with the Fed now placing major emphasis on its mandate for ensuring full employment, (besides containing inflation), at a time when employment has fallen by 5 million and 3 million have left the work force, resignations have surged due to the ease of getting better paid jobs and so wage pressures have built rapidly.</w:t>
      </w:r>
    </w:p>
    <w:p w14:paraId="62EF0CD8" w14:textId="77777777" w:rsidR="000E0C4A" w:rsidRPr="000E0C4A" w:rsidRDefault="000E0C4A" w:rsidP="000E0C4A">
      <w:pPr>
        <w:jc w:val="both"/>
        <w:rPr>
          <w:rFonts w:eastAsia="Calibri" w:cs="Arial"/>
          <w:color w:val="0D0D0D" w:themeColor="text1" w:themeTint="F2"/>
          <w:szCs w:val="24"/>
        </w:rPr>
      </w:pPr>
    </w:p>
    <w:p w14:paraId="4E461B0A"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 xml:space="preserve">With wage growth at its strongest since the early 1980s, inflation expectations rising and signs of a breakout in cyclical price inflation, particularly rents, the FOMC's insistence that this is still just a temporary shock "related to the pandemic and the reopening of the economy", does raise doubts which could undermine market confidence in the Fed and lead to higher treasury yields.  </w:t>
      </w:r>
    </w:p>
    <w:p w14:paraId="72883B80" w14:textId="77777777" w:rsidR="00ED1ECB" w:rsidRPr="000E0C4A" w:rsidRDefault="00ED1ECB" w:rsidP="000E0C4A">
      <w:pPr>
        <w:jc w:val="both"/>
        <w:rPr>
          <w:rFonts w:eastAsia="Calibri" w:cs="Arial"/>
          <w:color w:val="0D0D0D" w:themeColor="text1" w:themeTint="F2"/>
          <w:szCs w:val="24"/>
        </w:rPr>
      </w:pPr>
    </w:p>
    <w:p w14:paraId="6F5F9AC7"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 xml:space="preserve">As the US financial markets are, by far, the biggest financial markets in the world, any upward trend in treasury yields will invariably impact and influence financial markets in other countries. Inflationary pressures and erosion of surplus economic capacity look much stronger in the US compared to those in the UK, which would suggest that Fed rate increases eventually needed to suppress inflation, are likely to be faster and stronger than Bank Rate increases in the UK.  This is likely to put upward pressure on treasury yields which could then spill over into putting upward pressure on UK gilt yields. </w:t>
      </w:r>
    </w:p>
    <w:p w14:paraId="41C1B91B" w14:textId="77777777" w:rsidR="00ED1ECB" w:rsidRPr="000E0C4A" w:rsidRDefault="00ED1ECB" w:rsidP="000E0C4A">
      <w:pPr>
        <w:jc w:val="both"/>
        <w:rPr>
          <w:rFonts w:eastAsia="Calibri" w:cs="Arial"/>
          <w:color w:val="0D0D0D" w:themeColor="text1" w:themeTint="F2"/>
          <w:szCs w:val="24"/>
        </w:rPr>
      </w:pPr>
    </w:p>
    <w:p w14:paraId="3FE7218B"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There are also possible downside risks from the huge sums of cash that the UK populace have saved during the pandemic; when savings accounts earn little interest, it is likely that some of this cash mountain could end up being invested in bonds and so push up demand for bonds and support their prices i.e., this would help to keep their yields down. How this will interplay with the Bank of England eventually getting round to not reinvesting maturing gilts and then later selling gilts, will be interesting to monitor.</w:t>
      </w:r>
    </w:p>
    <w:p w14:paraId="20FE9815" w14:textId="77777777" w:rsidR="00ED1ECB" w:rsidRPr="002C0CFB" w:rsidRDefault="00ED1ECB" w:rsidP="00ED1ECB">
      <w:pPr>
        <w:jc w:val="both"/>
        <w:rPr>
          <w:rFonts w:cs="Arial"/>
          <w:color w:val="0D0D0D"/>
          <w:szCs w:val="24"/>
        </w:rPr>
      </w:pPr>
    </w:p>
    <w:p w14:paraId="621D1526" w14:textId="77777777" w:rsidR="00ED1ECB" w:rsidRPr="002C0CFB" w:rsidRDefault="00ED1ECB" w:rsidP="00ED1ECB">
      <w:pPr>
        <w:jc w:val="both"/>
        <w:rPr>
          <w:rFonts w:cs="Arial"/>
          <w:b/>
          <w:bCs/>
          <w:color w:val="0D0D0D"/>
          <w:szCs w:val="24"/>
        </w:rPr>
      </w:pPr>
      <w:r w:rsidRPr="002C0CFB">
        <w:rPr>
          <w:rFonts w:cs="Arial"/>
          <w:b/>
          <w:bCs/>
          <w:color w:val="0D0D0D"/>
          <w:szCs w:val="24"/>
        </w:rPr>
        <w:lastRenderedPageBreak/>
        <w:t>Globally, our views on economies are as follows: -</w:t>
      </w:r>
    </w:p>
    <w:p w14:paraId="77A02457" w14:textId="77777777" w:rsidR="000E0C4A"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EU.</w:t>
      </w:r>
      <w:r w:rsidRPr="000E0C4A">
        <w:rPr>
          <w:rFonts w:eastAsia="Calibri" w:cs="Arial"/>
          <w:color w:val="0D0D0D" w:themeColor="text1" w:themeTint="F2"/>
          <w:szCs w:val="24"/>
        </w:rPr>
        <w:t xml:space="preserve"> The slow role out of vaccines initially delayed economic recovery in early 2021 but the vaccination rate then picked up sharply.  After a contraction of -0.3% in Q1, Q2 came in with strong growth of 2%.  With Q3 at 2.2%, the EU recovery is nearly complete although countries dependent on tourism are lagging. Recent sharp increases in gas and electricity prices have increased overall inflationary pressures but the ECB is likely to see these as being only transitory after an initial burst through to around 4%, so is unlikely to be raising rates for a considerable time. </w:t>
      </w:r>
    </w:p>
    <w:p w14:paraId="10C14380" w14:textId="2C0930C1" w:rsidR="00ED1ECB" w:rsidRPr="000E0C4A" w:rsidRDefault="00ED1ECB" w:rsidP="000E0C4A">
      <w:pPr>
        <w:pStyle w:val="ListParagraph"/>
        <w:ind w:left="567"/>
        <w:contextualSpacing/>
        <w:jc w:val="both"/>
        <w:rPr>
          <w:rFonts w:eastAsia="Calibri" w:cs="Arial"/>
          <w:bCs/>
          <w:color w:val="0D0D0D" w:themeColor="text1" w:themeTint="F2"/>
          <w:szCs w:val="24"/>
        </w:rPr>
      </w:pPr>
      <w:r w:rsidRPr="000E0C4A">
        <w:rPr>
          <w:rFonts w:eastAsia="Calibri" w:cs="Arial"/>
          <w:bCs/>
          <w:color w:val="0D0D0D" w:themeColor="text1" w:themeTint="F2"/>
          <w:szCs w:val="24"/>
        </w:rPr>
        <w:t xml:space="preserve"> </w:t>
      </w:r>
    </w:p>
    <w:p w14:paraId="6147402B"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German general election.</w:t>
      </w:r>
      <w:r w:rsidRPr="000E0C4A">
        <w:rPr>
          <w:rFonts w:eastAsia="Calibri" w:cs="Arial"/>
          <w:color w:val="0D0D0D" w:themeColor="text1" w:themeTint="F2"/>
          <w:szCs w:val="24"/>
        </w:rPr>
        <w:t xml:space="preserve"> With the CDU/CSU and SDP both having won around 24-26% of the vote in the September general election, the composition of Germany’s next coalition government may not be agreed by the end of 2021. An SDP-led coalition would probably pursue a slightly less restrictive fiscal policy, but any change of direction from a CDU/CSU led coalition government is likely to be small. However, with Angela Merkel standing down as Chancellor as soon as a coalition is formed, there will be a hole in overall EU leadership which will be difficult to fill.</w:t>
      </w:r>
    </w:p>
    <w:p w14:paraId="05759415" w14:textId="77777777" w:rsidR="00ED1ECB" w:rsidRPr="002C0CFB" w:rsidRDefault="00ED1ECB" w:rsidP="00ED1ECB">
      <w:pPr>
        <w:pStyle w:val="ListParagraph"/>
        <w:jc w:val="both"/>
        <w:rPr>
          <w:rFonts w:cs="Arial"/>
          <w:b/>
          <w:bCs/>
          <w:color w:val="0D0D0D" w:themeColor="text1" w:themeTint="F2"/>
          <w:szCs w:val="24"/>
        </w:rPr>
      </w:pPr>
    </w:p>
    <w:p w14:paraId="0ABE90AC"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China.</w:t>
      </w:r>
      <w:r w:rsidRPr="000E0C4A">
        <w:rPr>
          <w:rFonts w:eastAsia="Calibri" w:cs="Arial"/>
          <w:color w:val="0D0D0D" w:themeColor="text1" w:themeTint="F2"/>
          <w:szCs w:val="24"/>
        </w:rPr>
        <w:t xml:space="preserve">  After a concerted effort to get on top of the virus outbreak in Q1 2020, economic recovery was strong in the rest of the year; this enabled China to recover all the initial contraction. During 2020, policy makers both quashed the virus and implemented a programme of monetary and fiscal support that was particularly effective at stimulating short-term growth. At the same time, China’s economy benefited from the shift towards online spending by consumers in developed markets. These factors helped to explain its comparative outperformance compared to western economies during 2020 and earlier in 2021. However, the pace of economic growth has now fallen back after this initial surge of recovery from the pandemic and China is now struggling to contain the spread of the Delta variant through sharp local lockdowns - which will also depress economic growth. There are also questions as to how effective Chinese vaccines are proving. Supply shortages, especially of coal for power generation, which is causing widespread power cuts to industry, are also having a sharp disruptive impact on the economy. In addition, recent regulatory actions motivated by a political agenda to channel activities into officially approved directions, are also likely to reduce the dynamism and long-term growth of the Chinese economy. </w:t>
      </w:r>
    </w:p>
    <w:p w14:paraId="4BC0BBF3" w14:textId="77777777" w:rsidR="00ED1ECB" w:rsidRPr="002C0CFB" w:rsidRDefault="00ED1ECB" w:rsidP="00ED1ECB">
      <w:pPr>
        <w:pStyle w:val="ListParagraph"/>
        <w:ind w:left="714" w:hanging="357"/>
        <w:jc w:val="both"/>
        <w:rPr>
          <w:rFonts w:cs="Arial"/>
          <w:color w:val="0D0D0D"/>
          <w:szCs w:val="24"/>
        </w:rPr>
      </w:pPr>
    </w:p>
    <w:p w14:paraId="3BF72C39"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Japan.</w:t>
      </w:r>
      <w:r w:rsidRPr="000E0C4A">
        <w:rPr>
          <w:rFonts w:eastAsia="Calibri" w:cs="Arial"/>
          <w:color w:val="0D0D0D" w:themeColor="text1" w:themeTint="F2"/>
          <w:szCs w:val="24"/>
        </w:rPr>
        <w:t xml:space="preserve"> 2021 has been a patchy year in combating Covid.  However, recent business surveys indicate that the economy is rebounding rapidly now that the bulk of the population is fully vaccinated and new virus cases have plunged. The Bank of Japan is continuing its very loose monetary policy but with little prospect of getting inflation back above 1% towards its target of 2%, any time soon: indeed, inflation was actually negative in July. New Prime Minister Kishida had promised a large fiscal stimulus package after the November general election which his party has now won.</w:t>
      </w:r>
    </w:p>
    <w:p w14:paraId="14686379" w14:textId="77777777" w:rsidR="00ED1ECB" w:rsidRPr="002C0CFB" w:rsidRDefault="00ED1ECB" w:rsidP="00ED1ECB">
      <w:pPr>
        <w:pStyle w:val="ListParagraph"/>
        <w:ind w:left="714"/>
        <w:jc w:val="both"/>
        <w:rPr>
          <w:rFonts w:cs="Arial"/>
          <w:color w:val="0D0D0D"/>
          <w:szCs w:val="24"/>
        </w:rPr>
      </w:pPr>
    </w:p>
    <w:p w14:paraId="03BCC77E"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World growth.</w:t>
      </w:r>
      <w:r w:rsidRPr="000E0C4A">
        <w:rPr>
          <w:rFonts w:eastAsia="Calibri" w:cs="Arial"/>
          <w:color w:val="0D0D0D" w:themeColor="text1" w:themeTint="F2"/>
          <w:szCs w:val="24"/>
        </w:rPr>
        <w:t xml:space="preserve">  World growth was in recession in 2020 but recovered during 2021. Inflation has been rising due to increases in gas and electricity prices, shipping costs and supply shortages. But these should subside during 2022.</w:t>
      </w:r>
    </w:p>
    <w:p w14:paraId="5FA4C5B3" w14:textId="6E2B44B1" w:rsidR="00ED1ECB" w:rsidRDefault="00ED1ECB" w:rsidP="00ED1ECB">
      <w:pPr>
        <w:jc w:val="both"/>
        <w:rPr>
          <w:rFonts w:eastAsia="Calibri" w:cs="Arial"/>
          <w:b/>
          <w:color w:val="0D0D0D"/>
          <w:spacing w:val="-5"/>
          <w:szCs w:val="24"/>
        </w:rPr>
      </w:pPr>
      <w:bookmarkStart w:id="10" w:name="_Hlk83822764"/>
    </w:p>
    <w:p w14:paraId="0CF722AE" w14:textId="77777777" w:rsidR="000E0C4A" w:rsidRDefault="000E0C4A" w:rsidP="00ED1ECB">
      <w:pPr>
        <w:jc w:val="both"/>
        <w:rPr>
          <w:rFonts w:eastAsia="Calibri" w:cs="Arial"/>
          <w:b/>
          <w:color w:val="0D0D0D"/>
          <w:spacing w:val="-5"/>
          <w:szCs w:val="24"/>
        </w:rPr>
      </w:pPr>
    </w:p>
    <w:p w14:paraId="4F415EFC" w14:textId="77777777" w:rsidR="00ED1ECB" w:rsidRPr="002C0CFB" w:rsidRDefault="00ED1ECB" w:rsidP="00ED1ECB">
      <w:pPr>
        <w:jc w:val="both"/>
        <w:rPr>
          <w:rFonts w:eastAsia="Calibri" w:cs="Arial"/>
          <w:b/>
          <w:color w:val="0D0D0D"/>
          <w:spacing w:val="-5"/>
          <w:szCs w:val="24"/>
        </w:rPr>
      </w:pPr>
      <w:r w:rsidRPr="002C0CFB">
        <w:rPr>
          <w:rFonts w:eastAsia="Calibri" w:cs="Arial"/>
          <w:b/>
          <w:color w:val="0D0D0D"/>
          <w:spacing w:val="-5"/>
          <w:szCs w:val="24"/>
        </w:rPr>
        <w:lastRenderedPageBreak/>
        <w:t>The balance of risks to the UK: -</w:t>
      </w:r>
    </w:p>
    <w:bookmarkEnd w:id="10"/>
    <w:p w14:paraId="19E5C629"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The overall balance of risks to economic growth in the UK is now to the downside, including residual risks from Covid and its variants - both domestically and their potential effects worldwide.</w:t>
      </w:r>
    </w:p>
    <w:p w14:paraId="1EEFD9DB" w14:textId="77777777" w:rsidR="00ED1ECB" w:rsidRPr="002C0CFB" w:rsidRDefault="00ED1ECB" w:rsidP="00ED1ECB">
      <w:pPr>
        <w:pStyle w:val="ListParagraph"/>
        <w:ind w:left="714" w:hanging="357"/>
        <w:jc w:val="both"/>
        <w:rPr>
          <w:rFonts w:eastAsia="Calibri" w:cs="Arial"/>
          <w:color w:val="0D0D0D"/>
          <w:spacing w:val="-5"/>
          <w:szCs w:val="24"/>
        </w:rPr>
      </w:pPr>
    </w:p>
    <w:p w14:paraId="72855A8E" w14:textId="020EF9C7" w:rsidR="00ED1ECB" w:rsidRDefault="00ED1ECB" w:rsidP="00ED1ECB">
      <w:pPr>
        <w:jc w:val="both"/>
        <w:rPr>
          <w:rFonts w:eastAsia="Calibri" w:cs="Arial"/>
          <w:b/>
          <w:color w:val="0D0D0D"/>
          <w:spacing w:val="-5"/>
          <w:szCs w:val="24"/>
        </w:rPr>
      </w:pPr>
      <w:r w:rsidRPr="002C0CFB">
        <w:rPr>
          <w:rFonts w:eastAsia="Calibri" w:cs="Arial"/>
          <w:b/>
          <w:bCs/>
          <w:color w:val="0D0D0D"/>
          <w:spacing w:val="-5"/>
          <w:szCs w:val="24"/>
        </w:rPr>
        <w:t>Do</w:t>
      </w:r>
      <w:r w:rsidRPr="002C0CFB">
        <w:rPr>
          <w:rFonts w:eastAsia="Calibri" w:cs="Arial"/>
          <w:b/>
          <w:color w:val="0D0D0D"/>
          <w:spacing w:val="-5"/>
          <w:szCs w:val="24"/>
        </w:rPr>
        <w:t>wnside risks to current forecasts for UK gilt yields and PWLB rates include: -</w:t>
      </w:r>
    </w:p>
    <w:p w14:paraId="1390E5A4" w14:textId="77777777" w:rsidR="000E0C4A" w:rsidRPr="002C0CFB" w:rsidRDefault="000E0C4A" w:rsidP="00ED1ECB">
      <w:pPr>
        <w:jc w:val="both"/>
        <w:rPr>
          <w:rFonts w:eastAsia="Calibri" w:cs="Arial"/>
          <w:b/>
          <w:color w:val="0D0D0D"/>
          <w:spacing w:val="-5"/>
          <w:szCs w:val="24"/>
        </w:rPr>
      </w:pPr>
    </w:p>
    <w:p w14:paraId="00EFFC0A"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Labour and supply shortages</w:t>
      </w:r>
      <w:r w:rsidRPr="000E0C4A">
        <w:rPr>
          <w:rFonts w:eastAsia="Calibri" w:cs="Arial"/>
          <w:color w:val="0D0D0D" w:themeColor="text1" w:themeTint="F2"/>
          <w:szCs w:val="24"/>
        </w:rPr>
        <w:t xml:space="preserve"> prove more enduring and disruptive and depress economic activity.</w:t>
      </w:r>
    </w:p>
    <w:p w14:paraId="11A4C841" w14:textId="77777777" w:rsidR="00ED1ECB" w:rsidRPr="002C0CFB" w:rsidRDefault="00ED1ECB" w:rsidP="00ED1ECB">
      <w:pPr>
        <w:pStyle w:val="ListParagraph"/>
        <w:ind w:left="714"/>
        <w:jc w:val="both"/>
        <w:rPr>
          <w:rFonts w:eastAsia="Calibri" w:cs="Arial"/>
          <w:bCs/>
          <w:color w:val="0D0D0D"/>
          <w:spacing w:val="-5"/>
          <w:szCs w:val="24"/>
        </w:rPr>
      </w:pPr>
    </w:p>
    <w:p w14:paraId="79A31710"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 xml:space="preserve">Mutations </w:t>
      </w:r>
      <w:r w:rsidRPr="000E0C4A">
        <w:rPr>
          <w:rFonts w:eastAsia="Calibri" w:cs="Arial"/>
          <w:color w:val="0D0D0D" w:themeColor="text1" w:themeTint="F2"/>
          <w:szCs w:val="24"/>
        </w:rPr>
        <w:t xml:space="preserve">of the virus render current vaccines ineffective, and tweaked vaccines to combat these mutations are delayed, resulting in further national lockdowns or severe regional restrictions. </w:t>
      </w:r>
    </w:p>
    <w:p w14:paraId="00B8C806" w14:textId="77777777" w:rsidR="00ED1ECB" w:rsidRPr="002C0CFB" w:rsidRDefault="00ED1ECB" w:rsidP="00ED1ECB">
      <w:pPr>
        <w:pStyle w:val="ListParagraph"/>
        <w:ind w:left="714" w:hanging="357"/>
        <w:jc w:val="both"/>
        <w:rPr>
          <w:rFonts w:eastAsia="Calibri" w:cs="Arial"/>
          <w:b/>
          <w:color w:val="0D0D0D"/>
          <w:spacing w:val="-5"/>
          <w:szCs w:val="24"/>
        </w:rPr>
      </w:pPr>
    </w:p>
    <w:p w14:paraId="4BDE4C25"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Bank of England</w:t>
      </w:r>
      <w:r w:rsidRPr="000E0C4A">
        <w:rPr>
          <w:rFonts w:eastAsia="Calibri" w:cs="Arial"/>
          <w:color w:val="0D0D0D" w:themeColor="text1" w:themeTint="F2"/>
          <w:szCs w:val="24"/>
        </w:rPr>
        <w:t xml:space="preserve"> acts too quickly, or too far, over the next three years to raise Bank Rate and causes UK economic growth, and increases in inflation, to be weaker than we currently anticipate. </w:t>
      </w:r>
    </w:p>
    <w:p w14:paraId="2A1C099A" w14:textId="77777777" w:rsidR="00ED1ECB" w:rsidRPr="002C0CFB" w:rsidRDefault="00ED1ECB" w:rsidP="00ED1ECB">
      <w:pPr>
        <w:pStyle w:val="ListParagraph"/>
        <w:rPr>
          <w:rFonts w:eastAsia="Calibri" w:cs="Arial"/>
          <w:b/>
          <w:color w:val="0D0D0D"/>
          <w:spacing w:val="-5"/>
          <w:szCs w:val="24"/>
        </w:rPr>
      </w:pPr>
    </w:p>
    <w:p w14:paraId="10A915F1"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The Government</w:t>
      </w:r>
      <w:r w:rsidRPr="000E0C4A">
        <w:rPr>
          <w:rFonts w:eastAsia="Calibri" w:cs="Arial"/>
          <w:color w:val="0D0D0D" w:themeColor="text1" w:themeTint="F2"/>
          <w:szCs w:val="24"/>
        </w:rPr>
        <w:t xml:space="preserve"> acts too quickly to cut expenditure to balance the national budget.</w:t>
      </w:r>
    </w:p>
    <w:p w14:paraId="41BB6C7B" w14:textId="77777777" w:rsidR="00ED1ECB" w:rsidRPr="002C0CFB" w:rsidRDefault="00ED1ECB" w:rsidP="00ED1ECB">
      <w:pPr>
        <w:pStyle w:val="ListParagraph"/>
        <w:rPr>
          <w:rFonts w:eastAsia="Calibri" w:cs="Arial"/>
          <w:bCs/>
          <w:color w:val="0D0D0D"/>
          <w:spacing w:val="-5"/>
          <w:szCs w:val="24"/>
        </w:rPr>
      </w:pPr>
    </w:p>
    <w:p w14:paraId="4E3D91C9"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UK / EU trade arrangements</w:t>
      </w:r>
      <w:r w:rsidRPr="000E0C4A">
        <w:rPr>
          <w:rFonts w:eastAsia="Calibri" w:cs="Arial"/>
          <w:color w:val="0D0D0D" w:themeColor="text1" w:themeTint="F2"/>
          <w:szCs w:val="24"/>
        </w:rPr>
        <w:t xml:space="preserve"> – if there was a major impact on trade flows and financial services due to complications or lack of co-operation in sorting out significant remaining issues. </w:t>
      </w:r>
    </w:p>
    <w:p w14:paraId="2B0EA376" w14:textId="77777777" w:rsidR="00ED1ECB" w:rsidRPr="002C0CFB" w:rsidRDefault="00ED1ECB" w:rsidP="00ED1ECB">
      <w:pPr>
        <w:pStyle w:val="ListParagraph"/>
        <w:ind w:left="714" w:hanging="357"/>
        <w:jc w:val="both"/>
        <w:rPr>
          <w:rFonts w:eastAsia="Calibri" w:cs="Arial"/>
          <w:bCs/>
          <w:color w:val="0D0D0D"/>
          <w:spacing w:val="-5"/>
          <w:szCs w:val="24"/>
        </w:rPr>
      </w:pPr>
    </w:p>
    <w:p w14:paraId="6BA1BEBB"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 xml:space="preserve">A resurgence of the </w:t>
      </w:r>
      <w:r w:rsidRPr="000E0C4A">
        <w:rPr>
          <w:rFonts w:eastAsia="Calibri" w:cs="Arial"/>
          <w:b/>
          <w:bCs/>
          <w:color w:val="0D0D0D" w:themeColor="text1" w:themeTint="F2"/>
          <w:szCs w:val="24"/>
        </w:rPr>
        <w:t>Eurozone sovereign debt crisis</w:t>
      </w:r>
      <w:r w:rsidRPr="000E0C4A">
        <w:rPr>
          <w:rFonts w:eastAsia="Calibri" w:cs="Arial"/>
          <w:color w:val="0D0D0D" w:themeColor="text1" w:themeTint="F2"/>
          <w:szCs w:val="24"/>
        </w:rPr>
        <w:t xml:space="preserve">. The ECB has taken monetary policy action to support the bonds of EU states, with the positive impact most likely for “weaker” countries. In addition, the EU agreed a €750bn fiscal support package which has still to be disbursed.  These actions will help shield weaker economic regions in the near-term. However, in the case of Italy in the longer term, the cost of the virus crisis has added to its already huge debt mountain and its slow economic growth will leave it vulnerable to markets returning to taking the view that its level of debt is unsupportable.  There remains a sharp divide between northern EU countries favouring low debt to GDP and annual balanced budgets and southern countries who want to see jointly issued Eurobonds to finance economic recovery. This divide could undermine the unity of the EU in time to come.  </w:t>
      </w:r>
    </w:p>
    <w:p w14:paraId="371EF61C" w14:textId="77777777" w:rsidR="00ED1ECB" w:rsidRPr="002C0CFB" w:rsidRDefault="00ED1ECB" w:rsidP="00ED1ECB">
      <w:pPr>
        <w:pStyle w:val="ListParagraph"/>
        <w:ind w:left="714" w:hanging="357"/>
        <w:jc w:val="both"/>
        <w:rPr>
          <w:rFonts w:eastAsia="Calibri" w:cs="Arial"/>
          <w:b/>
          <w:color w:val="0D0D0D"/>
          <w:spacing w:val="-5"/>
          <w:szCs w:val="24"/>
        </w:rPr>
      </w:pPr>
    </w:p>
    <w:p w14:paraId="39D4527C"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color w:val="0D0D0D" w:themeColor="text1" w:themeTint="F2"/>
          <w:szCs w:val="24"/>
        </w:rPr>
        <w:t xml:space="preserve">Weak capitalisation of some </w:t>
      </w:r>
      <w:r w:rsidRPr="000E0C4A">
        <w:rPr>
          <w:rFonts w:eastAsia="Calibri" w:cs="Arial"/>
          <w:b/>
          <w:bCs/>
          <w:color w:val="0D0D0D" w:themeColor="text1" w:themeTint="F2"/>
          <w:szCs w:val="24"/>
        </w:rPr>
        <w:t>European banks</w:t>
      </w:r>
      <w:r w:rsidRPr="000E0C4A">
        <w:rPr>
          <w:rFonts w:eastAsia="Calibri" w:cs="Arial"/>
          <w:color w:val="0D0D0D" w:themeColor="text1" w:themeTint="F2"/>
          <w:szCs w:val="24"/>
        </w:rPr>
        <w:t>, which could be undermined further depending on the extent of credit losses resulting from the pandemic.</w:t>
      </w:r>
    </w:p>
    <w:p w14:paraId="216D2F5F" w14:textId="77777777" w:rsidR="00ED1ECB" w:rsidRPr="002C0CFB" w:rsidRDefault="00ED1ECB" w:rsidP="00ED1ECB">
      <w:pPr>
        <w:pStyle w:val="ListParagraph"/>
        <w:ind w:left="714" w:hanging="357"/>
        <w:jc w:val="both"/>
        <w:rPr>
          <w:rFonts w:eastAsia="Calibri" w:cs="Arial"/>
          <w:b/>
          <w:color w:val="0D0D0D"/>
          <w:spacing w:val="-5"/>
          <w:szCs w:val="24"/>
        </w:rPr>
      </w:pPr>
    </w:p>
    <w:p w14:paraId="74BF1E8F"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German general election in September 2021.</w:t>
      </w:r>
      <w:r w:rsidRPr="000E0C4A">
        <w:rPr>
          <w:rFonts w:eastAsia="Calibri" w:cs="Arial"/>
          <w:color w:val="0D0D0D" w:themeColor="text1" w:themeTint="F2"/>
          <w:szCs w:val="24"/>
        </w:rPr>
        <w:t xml:space="preserve"> Germany faces months of uncertainty while a new coalition government is cobbled together after the indecisive result of the election. Once that coalition is formed, Angela Merkel’s tenure as Chancellor will end and will leave a hole in overall EU leadership.</w:t>
      </w:r>
    </w:p>
    <w:p w14:paraId="630445FD" w14:textId="77777777" w:rsidR="00ED1ECB" w:rsidRPr="002C0CFB" w:rsidRDefault="00ED1ECB" w:rsidP="00ED1ECB">
      <w:pPr>
        <w:pStyle w:val="ListParagraph"/>
        <w:ind w:left="714" w:hanging="357"/>
        <w:jc w:val="both"/>
        <w:rPr>
          <w:rFonts w:eastAsia="Calibri" w:cs="Arial"/>
          <w:b/>
          <w:color w:val="0D0D0D"/>
          <w:spacing w:val="-5"/>
          <w:szCs w:val="24"/>
        </w:rPr>
      </w:pPr>
    </w:p>
    <w:p w14:paraId="35FDE66F"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t>Other minority EU governments.</w:t>
      </w:r>
      <w:r w:rsidRPr="000E0C4A">
        <w:rPr>
          <w:rFonts w:eastAsia="Calibri" w:cs="Arial"/>
          <w:color w:val="0D0D0D" w:themeColor="text1" w:themeTint="F2"/>
          <w:szCs w:val="24"/>
        </w:rPr>
        <w:t xml:space="preserve"> Austria, Sweden, Spain, Portugal, Netherlands, Ireland and Belgium also have vulnerable minority governments dependent on coalitions which could prove fragile and, therein, impact market confidence/economic prospects and lead to increasing safe-haven flows.</w:t>
      </w:r>
    </w:p>
    <w:p w14:paraId="687DFCE6" w14:textId="77777777" w:rsidR="00ED1ECB" w:rsidRPr="002C0CFB" w:rsidRDefault="00ED1ECB" w:rsidP="00ED1ECB">
      <w:pPr>
        <w:pStyle w:val="ListParagraph"/>
        <w:ind w:left="714" w:hanging="357"/>
        <w:jc w:val="both"/>
        <w:rPr>
          <w:rFonts w:eastAsia="Calibri" w:cs="Arial"/>
          <w:b/>
          <w:color w:val="0D0D0D"/>
          <w:spacing w:val="-5"/>
          <w:szCs w:val="24"/>
        </w:rPr>
      </w:pPr>
    </w:p>
    <w:p w14:paraId="445BF5D2" w14:textId="77777777" w:rsidR="00ED1ECB" w:rsidRPr="000E0C4A" w:rsidRDefault="00ED1ECB" w:rsidP="000E0C4A">
      <w:pPr>
        <w:numPr>
          <w:ilvl w:val="0"/>
          <w:numId w:val="7"/>
        </w:numPr>
        <w:tabs>
          <w:tab w:val="clear" w:pos="720"/>
          <w:tab w:val="num" w:pos="0"/>
        </w:tabs>
        <w:ind w:left="0" w:hanging="567"/>
        <w:jc w:val="both"/>
        <w:rPr>
          <w:rFonts w:eastAsia="Calibri" w:cs="Arial"/>
          <w:color w:val="0D0D0D" w:themeColor="text1" w:themeTint="F2"/>
          <w:szCs w:val="24"/>
        </w:rPr>
      </w:pPr>
      <w:r w:rsidRPr="000E0C4A">
        <w:rPr>
          <w:rFonts w:eastAsia="Calibri" w:cs="Arial"/>
          <w:b/>
          <w:bCs/>
          <w:color w:val="0D0D0D" w:themeColor="text1" w:themeTint="F2"/>
          <w:szCs w:val="24"/>
        </w:rPr>
        <w:lastRenderedPageBreak/>
        <w:t>Geopolitical risks</w:t>
      </w:r>
      <w:r w:rsidRPr="000E0C4A">
        <w:rPr>
          <w:rFonts w:eastAsia="Calibri" w:cs="Arial"/>
          <w:color w:val="0D0D0D" w:themeColor="text1" w:themeTint="F2"/>
          <w:szCs w:val="24"/>
        </w:rPr>
        <w:t xml:space="preserve">, for example in China, Iran or North Korea, but also in Europe and Middle Eastern countries, which could lead to increasing safe-haven flows. </w:t>
      </w:r>
    </w:p>
    <w:p w14:paraId="16F25335" w14:textId="77777777" w:rsidR="00ED1ECB" w:rsidRPr="002C0CFB" w:rsidRDefault="00ED1ECB" w:rsidP="00ED1ECB">
      <w:pPr>
        <w:jc w:val="both"/>
        <w:rPr>
          <w:rFonts w:eastAsia="Calibri" w:cs="Arial"/>
          <w:color w:val="0D0D0D"/>
          <w:spacing w:val="-5"/>
          <w:szCs w:val="24"/>
        </w:rPr>
      </w:pPr>
    </w:p>
    <w:p w14:paraId="696ECA87" w14:textId="77777777" w:rsidR="00ED1ECB" w:rsidRPr="002C0CFB" w:rsidRDefault="00ED1ECB" w:rsidP="00ED1ECB">
      <w:pPr>
        <w:jc w:val="both"/>
        <w:rPr>
          <w:rFonts w:eastAsia="Calibri" w:cs="Arial"/>
          <w:b/>
          <w:color w:val="0D0D0D"/>
          <w:spacing w:val="-5"/>
          <w:szCs w:val="24"/>
        </w:rPr>
      </w:pPr>
      <w:r w:rsidRPr="002C0CFB">
        <w:rPr>
          <w:rFonts w:eastAsia="Calibri" w:cs="Arial"/>
          <w:b/>
          <w:color w:val="0D0D0D"/>
          <w:spacing w:val="-5"/>
          <w:szCs w:val="24"/>
        </w:rPr>
        <w:t>Upside risks to current forecasts for UK gilt yields and PWLB rates: -</w:t>
      </w:r>
    </w:p>
    <w:p w14:paraId="5A5C98AC" w14:textId="77777777" w:rsidR="00ED1ECB" w:rsidRPr="007739ED" w:rsidRDefault="00ED1ECB" w:rsidP="007739ED">
      <w:pPr>
        <w:numPr>
          <w:ilvl w:val="0"/>
          <w:numId w:val="7"/>
        </w:numPr>
        <w:tabs>
          <w:tab w:val="clear" w:pos="720"/>
          <w:tab w:val="num" w:pos="0"/>
        </w:tabs>
        <w:ind w:left="0" w:hanging="567"/>
        <w:jc w:val="both"/>
        <w:rPr>
          <w:rFonts w:eastAsia="Calibri" w:cs="Arial"/>
          <w:color w:val="0D0D0D" w:themeColor="text1" w:themeTint="F2"/>
          <w:szCs w:val="24"/>
        </w:rPr>
      </w:pPr>
      <w:r w:rsidRPr="007739ED">
        <w:rPr>
          <w:rFonts w:eastAsia="Calibri" w:cs="Arial"/>
          <w:color w:val="0D0D0D" w:themeColor="text1" w:themeTint="F2"/>
          <w:szCs w:val="24"/>
        </w:rPr>
        <w:t xml:space="preserve">The </w:t>
      </w:r>
      <w:r w:rsidRPr="007739ED">
        <w:rPr>
          <w:rFonts w:eastAsia="Calibri" w:cs="Arial"/>
          <w:b/>
          <w:bCs/>
          <w:color w:val="0D0D0D" w:themeColor="text1" w:themeTint="F2"/>
          <w:szCs w:val="24"/>
        </w:rPr>
        <w:t>Bank of England is too slow</w:t>
      </w:r>
      <w:r w:rsidRPr="007739ED">
        <w:rPr>
          <w:rFonts w:eastAsia="Calibri" w:cs="Arial"/>
          <w:color w:val="0D0D0D" w:themeColor="text1" w:themeTint="F2"/>
          <w:szCs w:val="24"/>
        </w:rPr>
        <w:t xml:space="preserve"> in its pace and strength of increases in Bank Rate and, therefore, allows inflationary pressures to build up too strongly within the UK economy, which then necessitates a later rapid series of increases in Bank Rate faster than we currently expect. </w:t>
      </w:r>
    </w:p>
    <w:p w14:paraId="2D59F373" w14:textId="77777777" w:rsidR="00ED1ECB" w:rsidRPr="002C0CFB" w:rsidRDefault="00ED1ECB" w:rsidP="00ED1ECB">
      <w:pPr>
        <w:pStyle w:val="ListParagraph"/>
        <w:rPr>
          <w:rFonts w:eastAsia="Calibri" w:cs="Arial"/>
          <w:b/>
          <w:color w:val="0D0D0D"/>
          <w:spacing w:val="-5"/>
          <w:szCs w:val="24"/>
        </w:rPr>
      </w:pPr>
    </w:p>
    <w:p w14:paraId="6EDD4B01" w14:textId="77777777" w:rsidR="00ED1ECB" w:rsidRPr="007739ED" w:rsidRDefault="00ED1ECB" w:rsidP="007739ED">
      <w:pPr>
        <w:numPr>
          <w:ilvl w:val="0"/>
          <w:numId w:val="7"/>
        </w:numPr>
        <w:tabs>
          <w:tab w:val="clear" w:pos="720"/>
          <w:tab w:val="num" w:pos="0"/>
        </w:tabs>
        <w:ind w:left="0" w:hanging="567"/>
        <w:jc w:val="both"/>
        <w:rPr>
          <w:rFonts w:eastAsia="Calibri" w:cs="Arial"/>
          <w:color w:val="0D0D0D" w:themeColor="text1" w:themeTint="F2"/>
          <w:szCs w:val="24"/>
        </w:rPr>
      </w:pPr>
      <w:r w:rsidRPr="007739ED">
        <w:rPr>
          <w:rFonts w:eastAsia="Calibri" w:cs="Arial"/>
          <w:color w:val="0D0D0D" w:themeColor="text1" w:themeTint="F2"/>
          <w:szCs w:val="24"/>
        </w:rPr>
        <w:t>Longer term US treasury yields rise strongly and pull gilt yields up higher than forecast.</w:t>
      </w:r>
    </w:p>
    <w:p w14:paraId="3A936976" w14:textId="77777777" w:rsidR="00ED1ECB" w:rsidRPr="002C0CFB" w:rsidRDefault="00ED1ECB" w:rsidP="00ED1ECB">
      <w:pPr>
        <w:jc w:val="both"/>
        <w:rPr>
          <w:rFonts w:eastAsia="Calibri" w:cs="Arial"/>
          <w:color w:val="0D0D0D"/>
          <w:spacing w:val="-5"/>
          <w:szCs w:val="24"/>
        </w:rPr>
      </w:pPr>
    </w:p>
    <w:p w14:paraId="4441B6B3" w14:textId="77777777" w:rsidR="00ED1ECB" w:rsidRPr="002C0CFB" w:rsidRDefault="00ED1ECB" w:rsidP="00ED1ECB">
      <w:pPr>
        <w:pStyle w:val="Heading2"/>
        <w:jc w:val="both"/>
        <w:rPr>
          <w:rFonts w:ascii="Arial" w:hAnsi="Arial"/>
          <w:sz w:val="24"/>
          <w:szCs w:val="24"/>
        </w:rPr>
      </w:pPr>
      <w:r w:rsidRPr="002C0CFB">
        <w:rPr>
          <w:rFonts w:ascii="Arial" w:hAnsi="Arial"/>
          <w:sz w:val="24"/>
          <w:szCs w:val="24"/>
        </w:rPr>
        <w:t xml:space="preserve">LINK GROUP FORECASTS </w:t>
      </w:r>
    </w:p>
    <w:p w14:paraId="280ABAE9" w14:textId="0C3FB729" w:rsidR="00ED1ECB" w:rsidRDefault="00ED1ECB" w:rsidP="007739ED">
      <w:pPr>
        <w:numPr>
          <w:ilvl w:val="0"/>
          <w:numId w:val="7"/>
        </w:numPr>
        <w:tabs>
          <w:tab w:val="clear" w:pos="720"/>
          <w:tab w:val="num" w:pos="0"/>
        </w:tabs>
        <w:ind w:left="0" w:hanging="567"/>
        <w:jc w:val="both"/>
        <w:rPr>
          <w:rFonts w:eastAsia="Calibri" w:cs="Arial"/>
          <w:color w:val="0D0D0D" w:themeColor="text1" w:themeTint="F2"/>
          <w:szCs w:val="24"/>
        </w:rPr>
      </w:pPr>
      <w:r w:rsidRPr="007739ED">
        <w:rPr>
          <w:rFonts w:eastAsia="Calibri" w:cs="Arial"/>
          <w:color w:val="0D0D0D" w:themeColor="text1" w:themeTint="F2"/>
          <w:szCs w:val="24"/>
        </w:rPr>
        <w:t xml:space="preserve">We do not think that the MPC will embark on a series of increases in Bank Rate of more than 1.15% during the current and next three financial years as we do not expect inflation to return to being sustainably above 2% during this forecast period. </w:t>
      </w:r>
    </w:p>
    <w:p w14:paraId="03624C08" w14:textId="77777777" w:rsidR="007739ED" w:rsidRPr="007739ED" w:rsidRDefault="007739ED" w:rsidP="007739ED">
      <w:pPr>
        <w:jc w:val="both"/>
        <w:rPr>
          <w:rFonts w:eastAsia="Calibri" w:cs="Arial"/>
          <w:color w:val="0D0D0D" w:themeColor="text1" w:themeTint="F2"/>
          <w:szCs w:val="24"/>
        </w:rPr>
      </w:pPr>
    </w:p>
    <w:p w14:paraId="3EB133DE" w14:textId="2E8EC896" w:rsidR="00ED1ECB" w:rsidRDefault="00ED1ECB" w:rsidP="007739ED">
      <w:pPr>
        <w:numPr>
          <w:ilvl w:val="0"/>
          <w:numId w:val="7"/>
        </w:numPr>
        <w:tabs>
          <w:tab w:val="clear" w:pos="720"/>
          <w:tab w:val="num" w:pos="0"/>
        </w:tabs>
        <w:ind w:left="0" w:hanging="567"/>
        <w:jc w:val="both"/>
        <w:rPr>
          <w:rFonts w:eastAsia="Calibri" w:cs="Arial"/>
          <w:color w:val="0D0D0D" w:themeColor="text1" w:themeTint="F2"/>
          <w:szCs w:val="24"/>
        </w:rPr>
      </w:pPr>
      <w:r w:rsidRPr="007739ED">
        <w:rPr>
          <w:rFonts w:eastAsia="Calibri" w:cs="Arial"/>
          <w:color w:val="0D0D0D" w:themeColor="text1" w:themeTint="F2"/>
          <w:szCs w:val="24"/>
        </w:rPr>
        <w:t>With unpredictable virus factors now being part of the forecasting environment, there is a risk that forecasts could be subject to significant revision during the next three years.</w:t>
      </w:r>
    </w:p>
    <w:p w14:paraId="36B1EE2C" w14:textId="77777777" w:rsidR="007739ED" w:rsidRPr="007739ED" w:rsidRDefault="007739ED" w:rsidP="007739ED">
      <w:pPr>
        <w:jc w:val="both"/>
        <w:rPr>
          <w:rFonts w:eastAsia="Calibri" w:cs="Arial"/>
          <w:color w:val="0D0D0D" w:themeColor="text1" w:themeTint="F2"/>
          <w:szCs w:val="24"/>
        </w:rPr>
      </w:pPr>
    </w:p>
    <w:p w14:paraId="2F1FA078" w14:textId="77777777" w:rsidR="00ED1ECB" w:rsidRPr="002C0CFB" w:rsidRDefault="00ED1ECB" w:rsidP="00ED1ECB">
      <w:pPr>
        <w:pStyle w:val="ListNumber"/>
        <w:numPr>
          <w:ilvl w:val="0"/>
          <w:numId w:val="0"/>
        </w:numPr>
        <w:jc w:val="both"/>
        <w:rPr>
          <w:rFonts w:eastAsia="Calibri" w:cs="Arial"/>
          <w:b/>
          <w:color w:val="auto"/>
          <w:sz w:val="24"/>
          <w:szCs w:val="24"/>
          <w:lang w:val="en-GB"/>
        </w:rPr>
      </w:pPr>
      <w:r w:rsidRPr="002C0CFB">
        <w:rPr>
          <w:rFonts w:eastAsia="Calibri" w:cs="Arial"/>
          <w:b/>
          <w:color w:val="auto"/>
          <w:sz w:val="24"/>
          <w:szCs w:val="24"/>
          <w:lang w:val="en-GB"/>
        </w:rPr>
        <w:t>Gilt yields and PWLB rates</w:t>
      </w:r>
    </w:p>
    <w:p w14:paraId="08BB15CB" w14:textId="77777777" w:rsidR="007739ED" w:rsidRDefault="00ED1ECB" w:rsidP="007739ED">
      <w:pPr>
        <w:numPr>
          <w:ilvl w:val="0"/>
          <w:numId w:val="7"/>
        </w:numPr>
        <w:tabs>
          <w:tab w:val="clear" w:pos="720"/>
          <w:tab w:val="num" w:pos="0"/>
        </w:tabs>
        <w:ind w:left="0" w:hanging="567"/>
        <w:jc w:val="both"/>
        <w:rPr>
          <w:rFonts w:eastAsia="Calibri" w:cs="Arial"/>
          <w:color w:val="0D0D0D" w:themeColor="text1" w:themeTint="F2"/>
          <w:szCs w:val="24"/>
        </w:rPr>
      </w:pPr>
      <w:r w:rsidRPr="007739ED">
        <w:rPr>
          <w:rFonts w:eastAsia="Calibri" w:cs="Arial"/>
          <w:color w:val="0D0D0D" w:themeColor="text1" w:themeTint="F2"/>
          <w:szCs w:val="24"/>
        </w:rPr>
        <w:t xml:space="preserve">The general situation is for volatility in bond yields to endure as investor fears and confidence ebb and flow between favouring relatively more “risky” assets i.e., equities, or the safe haven of government bonds. The overall longer-run trend is for gilt yields and PWLB rates to rise. </w:t>
      </w:r>
    </w:p>
    <w:p w14:paraId="6B5BE6BF" w14:textId="351BDB5C" w:rsidR="00ED1ECB" w:rsidRPr="007739ED" w:rsidRDefault="00ED1ECB" w:rsidP="007739ED">
      <w:pPr>
        <w:jc w:val="both"/>
        <w:rPr>
          <w:rFonts w:eastAsia="Calibri" w:cs="Arial"/>
          <w:color w:val="0D0D0D" w:themeColor="text1" w:themeTint="F2"/>
          <w:szCs w:val="24"/>
        </w:rPr>
      </w:pPr>
      <w:r w:rsidRPr="007739ED">
        <w:rPr>
          <w:rFonts w:eastAsia="Calibri" w:cs="Arial"/>
          <w:color w:val="0D0D0D" w:themeColor="text1" w:themeTint="F2"/>
          <w:szCs w:val="24"/>
        </w:rPr>
        <w:t xml:space="preserve"> </w:t>
      </w:r>
    </w:p>
    <w:p w14:paraId="3FB00E58" w14:textId="77777777" w:rsidR="00ED1ECB" w:rsidRPr="007739ED" w:rsidRDefault="00ED1ECB" w:rsidP="007739ED">
      <w:pPr>
        <w:numPr>
          <w:ilvl w:val="0"/>
          <w:numId w:val="7"/>
        </w:numPr>
        <w:tabs>
          <w:tab w:val="clear" w:pos="720"/>
          <w:tab w:val="num" w:pos="0"/>
        </w:tabs>
        <w:ind w:left="0" w:hanging="567"/>
        <w:jc w:val="both"/>
        <w:rPr>
          <w:rFonts w:eastAsia="Calibri" w:cs="Arial"/>
          <w:color w:val="0D0D0D" w:themeColor="text1" w:themeTint="F2"/>
          <w:szCs w:val="24"/>
        </w:rPr>
      </w:pPr>
      <w:r w:rsidRPr="007739ED">
        <w:rPr>
          <w:rFonts w:eastAsia="Calibri" w:cs="Arial"/>
          <w:color w:val="0D0D0D" w:themeColor="text1" w:themeTint="F2"/>
          <w:szCs w:val="24"/>
        </w:rPr>
        <w:t>There is likely to be exceptional volatility and unpredictability in respect of gilt yields and PWLB rates due to the following factors: -</w:t>
      </w:r>
    </w:p>
    <w:p w14:paraId="6023219B" w14:textId="77777777" w:rsidR="00ED1ECB" w:rsidRPr="002C0CFB" w:rsidRDefault="00ED1ECB" w:rsidP="007739ED">
      <w:pPr>
        <w:pStyle w:val="ListParagraph"/>
        <w:numPr>
          <w:ilvl w:val="0"/>
          <w:numId w:val="18"/>
        </w:numPr>
        <w:spacing w:before="120" w:after="120"/>
        <w:ind w:left="567" w:hanging="567"/>
        <w:contextualSpacing/>
        <w:jc w:val="both"/>
        <w:rPr>
          <w:rFonts w:cs="Arial"/>
          <w:color w:val="0D0D0D" w:themeColor="text1" w:themeTint="F2"/>
          <w:szCs w:val="24"/>
        </w:rPr>
      </w:pPr>
      <w:r w:rsidRPr="002C0CFB">
        <w:rPr>
          <w:rFonts w:cs="Arial"/>
          <w:color w:val="0D0D0D" w:themeColor="text1" w:themeTint="F2"/>
          <w:szCs w:val="24"/>
        </w:rPr>
        <w:t>How strongly will changes in gilt yields be correlated to changes in US treasury yields?</w:t>
      </w:r>
    </w:p>
    <w:p w14:paraId="3ECD16C5" w14:textId="77777777" w:rsidR="00ED1ECB" w:rsidRPr="002C0CFB" w:rsidRDefault="00ED1ECB" w:rsidP="007739ED">
      <w:pPr>
        <w:pStyle w:val="ListParagraph"/>
        <w:numPr>
          <w:ilvl w:val="0"/>
          <w:numId w:val="18"/>
        </w:numPr>
        <w:spacing w:before="120" w:after="120"/>
        <w:ind w:left="567" w:hanging="567"/>
        <w:contextualSpacing/>
        <w:jc w:val="both"/>
        <w:rPr>
          <w:rFonts w:cs="Arial"/>
          <w:color w:val="0D0D0D" w:themeColor="text1" w:themeTint="F2"/>
          <w:szCs w:val="24"/>
        </w:rPr>
      </w:pPr>
      <w:r w:rsidRPr="002C0CFB">
        <w:rPr>
          <w:rFonts w:cs="Arial"/>
          <w:color w:val="0D0D0D" w:themeColor="text1" w:themeTint="F2"/>
          <w:szCs w:val="24"/>
        </w:rPr>
        <w:t>Will the Fed take action to counter increasing treasury yields if they rise beyond a yet unspecified level?</w:t>
      </w:r>
    </w:p>
    <w:p w14:paraId="5CEF46C7" w14:textId="77777777" w:rsidR="00ED1ECB" w:rsidRPr="002C0CFB" w:rsidRDefault="00ED1ECB" w:rsidP="007739ED">
      <w:pPr>
        <w:pStyle w:val="ListParagraph"/>
        <w:numPr>
          <w:ilvl w:val="0"/>
          <w:numId w:val="18"/>
        </w:numPr>
        <w:spacing w:before="120" w:after="120"/>
        <w:ind w:left="567" w:hanging="567"/>
        <w:contextualSpacing/>
        <w:jc w:val="both"/>
        <w:rPr>
          <w:rFonts w:cs="Arial"/>
          <w:color w:val="0D0D0D" w:themeColor="text1" w:themeTint="F2"/>
          <w:szCs w:val="24"/>
        </w:rPr>
      </w:pPr>
      <w:r w:rsidRPr="002C0CFB">
        <w:rPr>
          <w:rFonts w:cs="Arial"/>
          <w:color w:val="0D0D0D" w:themeColor="text1" w:themeTint="F2"/>
          <w:szCs w:val="24"/>
        </w:rPr>
        <w:t>Would the MPC act to counter increasing gilt yields if they rise beyond a yet unspecified level?</w:t>
      </w:r>
    </w:p>
    <w:p w14:paraId="627B1782" w14:textId="77777777" w:rsidR="00ED1ECB" w:rsidRPr="002C0CFB" w:rsidRDefault="00ED1ECB" w:rsidP="007739ED">
      <w:pPr>
        <w:pStyle w:val="ListParagraph"/>
        <w:numPr>
          <w:ilvl w:val="0"/>
          <w:numId w:val="18"/>
        </w:numPr>
        <w:spacing w:before="120" w:after="120"/>
        <w:ind w:left="567" w:hanging="567"/>
        <w:contextualSpacing/>
        <w:jc w:val="both"/>
        <w:rPr>
          <w:rFonts w:cs="Arial"/>
          <w:color w:val="0D0D0D" w:themeColor="text1" w:themeTint="F2"/>
          <w:szCs w:val="24"/>
        </w:rPr>
      </w:pPr>
      <w:r w:rsidRPr="002C0CFB">
        <w:rPr>
          <w:rFonts w:cs="Arial"/>
          <w:color w:val="0D0D0D" w:themeColor="text1" w:themeTint="F2"/>
          <w:szCs w:val="24"/>
        </w:rPr>
        <w:t>How strong will inflationary pressures turn out to be in both the US and the UK and so impact treasury and gilt yields?</w:t>
      </w:r>
    </w:p>
    <w:p w14:paraId="2741C08D" w14:textId="77777777" w:rsidR="00ED1ECB" w:rsidRPr="002C0CFB" w:rsidRDefault="00ED1ECB" w:rsidP="007739ED">
      <w:pPr>
        <w:pStyle w:val="ListParagraph"/>
        <w:numPr>
          <w:ilvl w:val="0"/>
          <w:numId w:val="18"/>
        </w:numPr>
        <w:spacing w:before="120" w:after="120"/>
        <w:ind w:left="567" w:hanging="567"/>
        <w:contextualSpacing/>
        <w:jc w:val="both"/>
        <w:rPr>
          <w:rFonts w:cs="Arial"/>
          <w:color w:val="0D0D0D" w:themeColor="text1" w:themeTint="F2"/>
          <w:szCs w:val="24"/>
        </w:rPr>
      </w:pPr>
      <w:r w:rsidRPr="002C0CFB">
        <w:rPr>
          <w:rFonts w:cs="Arial"/>
          <w:color w:val="0D0D0D" w:themeColor="text1" w:themeTint="F2"/>
          <w:szCs w:val="24"/>
        </w:rPr>
        <w:t>How will central banks implement their new average or sustainable level inflation monetary policies?</w:t>
      </w:r>
    </w:p>
    <w:p w14:paraId="2084B166" w14:textId="77777777" w:rsidR="00ED1ECB" w:rsidRPr="002C0CFB" w:rsidRDefault="00ED1ECB" w:rsidP="007739ED">
      <w:pPr>
        <w:pStyle w:val="ListParagraph"/>
        <w:numPr>
          <w:ilvl w:val="0"/>
          <w:numId w:val="18"/>
        </w:numPr>
        <w:spacing w:before="120" w:after="120"/>
        <w:ind w:left="567" w:hanging="567"/>
        <w:contextualSpacing/>
        <w:jc w:val="both"/>
        <w:rPr>
          <w:rFonts w:cs="Arial"/>
          <w:color w:val="0D0D0D" w:themeColor="text1" w:themeTint="F2"/>
          <w:szCs w:val="24"/>
        </w:rPr>
      </w:pPr>
      <w:r w:rsidRPr="002C0CFB">
        <w:rPr>
          <w:rFonts w:cs="Arial"/>
          <w:color w:val="0D0D0D" w:themeColor="text1" w:themeTint="F2"/>
          <w:szCs w:val="24"/>
        </w:rPr>
        <w:t>How well will central banks manage the withdrawal of QE purchases of their national bonds i.e., without causing a panic reaction in financial markets as happened in the “taper tantrums” in the US in 2013?</w:t>
      </w:r>
    </w:p>
    <w:p w14:paraId="1D96572B" w14:textId="77777777" w:rsidR="00ED1ECB" w:rsidRPr="002C0CFB" w:rsidRDefault="00ED1ECB" w:rsidP="007739ED">
      <w:pPr>
        <w:pStyle w:val="ListParagraph"/>
        <w:numPr>
          <w:ilvl w:val="0"/>
          <w:numId w:val="18"/>
        </w:numPr>
        <w:spacing w:before="120" w:after="120"/>
        <w:ind w:left="567" w:hanging="567"/>
        <w:contextualSpacing/>
        <w:jc w:val="both"/>
        <w:rPr>
          <w:rFonts w:cs="Arial"/>
          <w:color w:val="0D0D0D" w:themeColor="text1" w:themeTint="F2"/>
          <w:szCs w:val="24"/>
        </w:rPr>
      </w:pPr>
      <w:r w:rsidRPr="002C0CFB">
        <w:rPr>
          <w:rFonts w:cs="Arial"/>
          <w:color w:val="0D0D0D" w:themeColor="text1" w:themeTint="F2"/>
          <w:szCs w:val="24"/>
        </w:rPr>
        <w:t>Will exceptional volatility be focused on the short or long-end of the yield curve, or both?</w:t>
      </w:r>
    </w:p>
    <w:p w14:paraId="2B9AE08B" w14:textId="77777777" w:rsidR="00ED1ECB" w:rsidRPr="007739ED" w:rsidRDefault="00ED1ECB" w:rsidP="007739ED">
      <w:pPr>
        <w:numPr>
          <w:ilvl w:val="0"/>
          <w:numId w:val="7"/>
        </w:numPr>
        <w:tabs>
          <w:tab w:val="clear" w:pos="720"/>
          <w:tab w:val="num" w:pos="0"/>
        </w:tabs>
        <w:ind w:left="0" w:hanging="567"/>
        <w:jc w:val="both"/>
        <w:rPr>
          <w:rFonts w:eastAsia="Calibri" w:cs="Arial"/>
          <w:color w:val="0D0D0D" w:themeColor="text1" w:themeTint="F2"/>
          <w:szCs w:val="24"/>
        </w:rPr>
      </w:pPr>
      <w:r w:rsidRPr="007739ED">
        <w:rPr>
          <w:rFonts w:eastAsia="Calibri" w:cs="Arial"/>
          <w:color w:val="0D0D0D" w:themeColor="text1" w:themeTint="F2"/>
          <w:szCs w:val="24"/>
        </w:rPr>
        <w:t xml:space="preserve">Our forecasts are also predicated on an assumption that there is no break-up of the Eurozone or EU within our forecasting period, despite the major challenges that are looming up, and that there are no major ructions in </w:t>
      </w:r>
      <w:r w:rsidRPr="007739ED">
        <w:rPr>
          <w:rFonts w:eastAsia="Calibri" w:cs="Arial"/>
          <w:color w:val="0D0D0D" w:themeColor="text1" w:themeTint="F2"/>
          <w:szCs w:val="24"/>
        </w:rPr>
        <w:lastRenderedPageBreak/>
        <w:t>international relations, especially between the US and China / North Korea and Iran, which have a major impact on international trade and world GDP growth.</w:t>
      </w:r>
    </w:p>
    <w:p w14:paraId="6FA4F8C1" w14:textId="77777777" w:rsidR="00ED1ECB" w:rsidRPr="007739ED" w:rsidRDefault="00ED1ECB" w:rsidP="007739ED">
      <w:pPr>
        <w:jc w:val="both"/>
        <w:rPr>
          <w:rFonts w:eastAsia="Calibri" w:cs="Arial"/>
          <w:color w:val="0D0D0D" w:themeColor="text1" w:themeTint="F2"/>
          <w:szCs w:val="24"/>
        </w:rPr>
      </w:pPr>
    </w:p>
    <w:p w14:paraId="26E7F029" w14:textId="77777777" w:rsidR="00ED1ECB" w:rsidRPr="007739ED" w:rsidRDefault="00ED1ECB" w:rsidP="007739ED">
      <w:pPr>
        <w:numPr>
          <w:ilvl w:val="0"/>
          <w:numId w:val="7"/>
        </w:numPr>
        <w:tabs>
          <w:tab w:val="clear" w:pos="720"/>
          <w:tab w:val="num" w:pos="0"/>
        </w:tabs>
        <w:ind w:left="0" w:hanging="567"/>
        <w:jc w:val="both"/>
        <w:rPr>
          <w:rFonts w:eastAsia="Calibri" w:cs="Arial"/>
          <w:color w:val="0D0D0D" w:themeColor="text1" w:themeTint="F2"/>
          <w:szCs w:val="24"/>
        </w:rPr>
      </w:pPr>
      <w:r w:rsidRPr="007739ED">
        <w:rPr>
          <w:rFonts w:eastAsia="Calibri" w:cs="Arial"/>
          <w:color w:val="0D0D0D" w:themeColor="text1" w:themeTint="F2"/>
          <w:szCs w:val="24"/>
        </w:rPr>
        <w:t xml:space="preserve">Our current and previous PWLB rate forecasts below are based on the Certainty Rate (the standard rate minus 20 bps) which has been accessible to most authorities since 1st November 2012. </w:t>
      </w:r>
    </w:p>
    <w:p w14:paraId="2AF52C0A" w14:textId="77777777" w:rsidR="00ED1ECB" w:rsidRPr="008C1ADE" w:rsidRDefault="00ED1ECB" w:rsidP="00ED1ECB">
      <w:pPr>
        <w:rPr>
          <w:rFonts w:cs="Arial"/>
          <w:b/>
          <w:color w:val="0D0D0D" w:themeColor="text1" w:themeTint="F2"/>
          <w:szCs w:val="24"/>
        </w:rPr>
      </w:pPr>
    </w:p>
    <w:p w14:paraId="1AA738A1" w14:textId="77777777" w:rsidR="00ED1ECB" w:rsidRDefault="00ED1ECB" w:rsidP="00ED1ECB">
      <w:pPr>
        <w:rPr>
          <w:rFonts w:cs="Arial"/>
          <w:b/>
          <w:color w:val="0D0D0D" w:themeColor="text1" w:themeTint="F2"/>
          <w:sz w:val="28"/>
          <w:szCs w:val="28"/>
        </w:rPr>
      </w:pPr>
      <w:r w:rsidRPr="00673D15">
        <w:rPr>
          <w:noProof/>
        </w:rPr>
        <w:drawing>
          <wp:inline distT="0" distB="0" distL="0" distR="0" wp14:anchorId="1F337DCF" wp14:editId="156E21E7">
            <wp:extent cx="6329813" cy="1533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3516" cy="1534422"/>
                    </a:xfrm>
                    <a:prstGeom prst="rect">
                      <a:avLst/>
                    </a:prstGeom>
                    <a:noFill/>
                    <a:ln>
                      <a:noFill/>
                    </a:ln>
                  </pic:spPr>
                </pic:pic>
              </a:graphicData>
            </a:graphic>
          </wp:inline>
        </w:drawing>
      </w:r>
    </w:p>
    <w:p w14:paraId="1C34266C" w14:textId="77777777" w:rsidR="00ED1ECB" w:rsidRDefault="00ED1ECB" w:rsidP="00ED1ECB">
      <w:pPr>
        <w:rPr>
          <w:rFonts w:cs="Arial"/>
          <w:b/>
          <w:color w:val="0D0D0D" w:themeColor="text1" w:themeTint="F2"/>
          <w:sz w:val="32"/>
          <w:szCs w:val="32"/>
        </w:rPr>
      </w:pPr>
      <w:r>
        <w:rPr>
          <w:rFonts w:cs="Arial"/>
          <w:b/>
          <w:color w:val="0D0D0D" w:themeColor="text1" w:themeTint="F2"/>
          <w:sz w:val="32"/>
          <w:szCs w:val="32"/>
        </w:rPr>
        <w:br w:type="page"/>
      </w:r>
    </w:p>
    <w:p w14:paraId="17B2BDFA" w14:textId="39FB709C" w:rsidR="00ED1ECB" w:rsidRDefault="00ED1ECB" w:rsidP="00ED1ECB">
      <w:pPr>
        <w:rPr>
          <w:rFonts w:cs="Arial"/>
          <w:b/>
          <w:color w:val="0D0D0D" w:themeColor="text1" w:themeTint="F2"/>
          <w:sz w:val="28"/>
          <w:szCs w:val="28"/>
        </w:rPr>
      </w:pPr>
      <w:r w:rsidRPr="00ED1ECB">
        <w:rPr>
          <w:rFonts w:cs="Arial"/>
          <w:b/>
          <w:color w:val="0D0D0D" w:themeColor="text1" w:themeTint="F2"/>
          <w:sz w:val="28"/>
          <w:szCs w:val="28"/>
        </w:rPr>
        <w:lastRenderedPageBreak/>
        <w:t>Appendix 2 Borrowing and Investment Rate Summary 202</w:t>
      </w:r>
      <w:r>
        <w:rPr>
          <w:rFonts w:cs="Arial"/>
          <w:b/>
          <w:color w:val="0D0D0D" w:themeColor="text1" w:themeTint="F2"/>
          <w:sz w:val="28"/>
          <w:szCs w:val="28"/>
        </w:rPr>
        <w:t>1</w:t>
      </w:r>
      <w:r w:rsidRPr="00ED1ECB">
        <w:rPr>
          <w:rFonts w:cs="Arial"/>
          <w:b/>
          <w:color w:val="0D0D0D" w:themeColor="text1" w:themeTint="F2"/>
          <w:sz w:val="28"/>
          <w:szCs w:val="28"/>
        </w:rPr>
        <w:t>/2</w:t>
      </w:r>
      <w:r>
        <w:rPr>
          <w:rFonts w:cs="Arial"/>
          <w:b/>
          <w:color w:val="0D0D0D" w:themeColor="text1" w:themeTint="F2"/>
          <w:sz w:val="28"/>
          <w:szCs w:val="28"/>
        </w:rPr>
        <w:t>2</w:t>
      </w:r>
    </w:p>
    <w:p w14:paraId="54E7577A" w14:textId="77777777" w:rsidR="00ED1ECB" w:rsidRPr="00ED1ECB" w:rsidRDefault="00ED1ECB" w:rsidP="00ED1ECB">
      <w:pPr>
        <w:rPr>
          <w:rFonts w:cs="Arial"/>
          <w:b/>
          <w:color w:val="0D0D0D" w:themeColor="text1" w:themeTint="F2"/>
          <w:szCs w:val="24"/>
        </w:rPr>
      </w:pPr>
    </w:p>
    <w:p w14:paraId="3F2ED0E6" w14:textId="77777777" w:rsidR="00ED1ECB" w:rsidRDefault="00ED1ECB" w:rsidP="00ED1ECB">
      <w:pPr>
        <w:rPr>
          <w:rFonts w:cs="Arial"/>
          <w:b/>
          <w:color w:val="0D0D0D" w:themeColor="text1" w:themeTint="F2"/>
          <w:sz w:val="28"/>
          <w:szCs w:val="28"/>
        </w:rPr>
      </w:pPr>
      <w:r>
        <w:rPr>
          <w:rFonts w:cs="Arial"/>
          <w:b/>
          <w:color w:val="0D0D0D" w:themeColor="text1" w:themeTint="F2"/>
          <w:sz w:val="28"/>
          <w:szCs w:val="28"/>
        </w:rPr>
        <w:t>PWLB borrowing rates</w:t>
      </w:r>
    </w:p>
    <w:p w14:paraId="0210E06C" w14:textId="3CB23111" w:rsidR="00ED1ECB" w:rsidRDefault="00ED1ECB" w:rsidP="00ED1ECB">
      <w:r>
        <w:rPr>
          <w:rFonts w:eastAsia="Bliss 2 Regular" w:cs="Arial"/>
          <w:noProof/>
          <w:color w:val="0D0D0D"/>
          <w:sz w:val="20"/>
        </w:rPr>
        <w:drawing>
          <wp:inline distT="0" distB="0" distL="0" distR="0" wp14:anchorId="3D175B22" wp14:editId="440FF461">
            <wp:extent cx="5731510" cy="4006392"/>
            <wp:effectExtent l="19050" t="19050" r="21590" b="13335"/>
            <wp:docPr id="13" name="Picture 13" descr="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isto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006392"/>
                    </a:xfrm>
                    <a:prstGeom prst="rect">
                      <a:avLst/>
                    </a:prstGeom>
                    <a:noFill/>
                    <a:ln>
                      <a:solidFill>
                        <a:schemeClr val="tx1"/>
                      </a:solidFill>
                    </a:ln>
                  </pic:spPr>
                </pic:pic>
              </a:graphicData>
            </a:graphic>
          </wp:inline>
        </w:drawing>
      </w:r>
    </w:p>
    <w:p w14:paraId="1B112767" w14:textId="77777777" w:rsidR="00ED1ECB" w:rsidRDefault="00ED1ECB" w:rsidP="00ED1ECB"/>
    <w:p w14:paraId="5C7E530B" w14:textId="77777777" w:rsidR="00ED1ECB" w:rsidRDefault="00ED1ECB" w:rsidP="00ED1ECB">
      <w:r>
        <w:rPr>
          <w:rFonts w:eastAsia="Bliss 2 Regular" w:cs="Arial"/>
          <w:noProof/>
          <w:color w:val="0D0D0D"/>
          <w:sz w:val="20"/>
        </w:rPr>
        <w:drawing>
          <wp:inline distT="0" distB="0" distL="0" distR="0" wp14:anchorId="331EFC97" wp14:editId="46CCEE0B">
            <wp:extent cx="6057744" cy="1447800"/>
            <wp:effectExtent l="0" t="0" r="635" b="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4541" cy="1449424"/>
                    </a:xfrm>
                    <a:prstGeom prst="rect">
                      <a:avLst/>
                    </a:prstGeom>
                    <a:noFill/>
                  </pic:spPr>
                </pic:pic>
              </a:graphicData>
            </a:graphic>
          </wp:inline>
        </w:drawing>
      </w:r>
    </w:p>
    <w:p w14:paraId="7544B598" w14:textId="77777777" w:rsidR="00ED1ECB" w:rsidRDefault="00ED1ECB" w:rsidP="00ED1ECB"/>
    <w:p w14:paraId="67F78EF0" w14:textId="2799D9DB" w:rsidR="00ED1ECB" w:rsidRDefault="00ED1ECB" w:rsidP="00ED1ECB">
      <w:pPr>
        <w:contextualSpacing/>
        <w:rPr>
          <w:b/>
          <w:color w:val="0D0D0D" w:themeColor="text1" w:themeTint="F2"/>
          <w:sz w:val="28"/>
          <w:szCs w:val="28"/>
        </w:rPr>
      </w:pPr>
      <w:r w:rsidRPr="00C663E4">
        <w:rPr>
          <w:b/>
          <w:color w:val="0D0D0D" w:themeColor="text1" w:themeTint="F2"/>
          <w:sz w:val="28"/>
          <w:szCs w:val="28"/>
        </w:rPr>
        <w:t>Money market investment rates and forecasts 202</w:t>
      </w:r>
      <w:r>
        <w:rPr>
          <w:b/>
          <w:color w:val="0D0D0D" w:themeColor="text1" w:themeTint="F2"/>
          <w:sz w:val="28"/>
          <w:szCs w:val="28"/>
        </w:rPr>
        <w:t>1</w:t>
      </w:r>
      <w:r w:rsidRPr="00C663E4">
        <w:rPr>
          <w:b/>
          <w:color w:val="0D0D0D" w:themeColor="text1" w:themeTint="F2"/>
          <w:sz w:val="28"/>
          <w:szCs w:val="28"/>
        </w:rPr>
        <w:t>/2</w:t>
      </w:r>
      <w:r>
        <w:rPr>
          <w:b/>
          <w:color w:val="0D0D0D" w:themeColor="text1" w:themeTint="F2"/>
          <w:sz w:val="28"/>
          <w:szCs w:val="28"/>
        </w:rPr>
        <w:t>2</w:t>
      </w:r>
    </w:p>
    <w:p w14:paraId="15FA4192" w14:textId="77777777" w:rsidR="00ED1ECB" w:rsidRPr="00C663E4" w:rsidRDefault="00ED1ECB" w:rsidP="00ED1ECB">
      <w:pPr>
        <w:contextualSpacing/>
        <w:rPr>
          <w:b/>
          <w:color w:val="0D0D0D" w:themeColor="text1" w:themeTint="F2"/>
          <w:sz w:val="28"/>
          <w:szCs w:val="28"/>
        </w:rPr>
      </w:pPr>
    </w:p>
    <w:p w14:paraId="49E3C06B" w14:textId="0EA3D2AB" w:rsidR="00ED1ECB" w:rsidRPr="00ED6776" w:rsidRDefault="00ED1ECB" w:rsidP="00ED6776">
      <w:pPr>
        <w:pStyle w:val="Infotext"/>
        <w:tabs>
          <w:tab w:val="left" w:pos="3768"/>
          <w:tab w:val="left" w:pos="4315"/>
        </w:tabs>
        <w:rPr>
          <w:rFonts w:cs="Arial"/>
          <w:i/>
          <w:sz w:val="24"/>
          <w:szCs w:val="24"/>
          <w:lang w:eastAsia="en-GB"/>
        </w:rPr>
      </w:pPr>
      <w:r>
        <w:rPr>
          <w:rFonts w:eastAsia="Bliss 2 Regular" w:cs="Arial"/>
          <w:noProof/>
          <w:color w:val="0D0D0D"/>
          <w:sz w:val="20"/>
        </w:rPr>
        <w:drawing>
          <wp:inline distT="0" distB="0" distL="0" distR="0" wp14:anchorId="3DD5949B" wp14:editId="3750E97A">
            <wp:extent cx="6040208" cy="1304925"/>
            <wp:effectExtent l="0" t="0" r="0" b="0"/>
            <wp:docPr id="5" name="Picture 5"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3218" cy="1305575"/>
                    </a:xfrm>
                    <a:prstGeom prst="rect">
                      <a:avLst/>
                    </a:prstGeom>
                    <a:noFill/>
                  </pic:spPr>
                </pic:pic>
              </a:graphicData>
            </a:graphic>
          </wp:inline>
        </w:drawing>
      </w:r>
    </w:p>
    <w:sectPr w:rsidR="00ED1ECB" w:rsidRPr="00ED6776" w:rsidSect="001614E0">
      <w:headerReference w:type="default" r:id="rId18"/>
      <w:headerReference w:type="first" r:id="rId19"/>
      <w:footerReference w:type="first" r:id="rId2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358C7" w14:textId="77777777" w:rsidR="0036001B" w:rsidRDefault="0036001B">
      <w:r>
        <w:separator/>
      </w:r>
    </w:p>
  </w:endnote>
  <w:endnote w:type="continuationSeparator" w:id="0">
    <w:p w14:paraId="095024F0" w14:textId="77777777" w:rsidR="0036001B" w:rsidRDefault="0036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 Form Sans">
    <w:altName w:val="Calibri"/>
    <w:charset w:val="00"/>
    <w:family w:val="auto"/>
    <w:pitch w:val="variable"/>
    <w:sig w:usb0="800000A7" w:usb1="0000004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Bliss 2 Regular">
    <w:altName w:val="Calibri"/>
    <w:panose1 w:val="00000000000000000000"/>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A2D47" w14:textId="77777777" w:rsidR="0036001B" w:rsidRPr="004F56C5" w:rsidRDefault="0036001B"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FB808" w14:textId="77777777" w:rsidR="0036001B" w:rsidRDefault="0036001B">
      <w:r>
        <w:separator/>
      </w:r>
    </w:p>
  </w:footnote>
  <w:footnote w:type="continuationSeparator" w:id="0">
    <w:p w14:paraId="24B52E60" w14:textId="77777777" w:rsidR="0036001B" w:rsidRDefault="0036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C79B" w14:textId="77777777" w:rsidR="0036001B" w:rsidRDefault="00360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9454" w14:textId="77777777" w:rsidR="0036001B" w:rsidRDefault="00360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1362BE6"/>
    <w:lvl w:ilvl="0">
      <w:start w:val="1"/>
      <w:numFmt w:val="decimal"/>
      <w:pStyle w:val="ListNumber"/>
      <w:lvlText w:val="%1."/>
      <w:lvlJc w:val="left"/>
      <w:pPr>
        <w:tabs>
          <w:tab w:val="num" w:pos="360"/>
        </w:tabs>
        <w:ind w:left="360" w:hanging="360"/>
      </w:pPr>
    </w:lvl>
  </w:abstractNum>
  <w:abstractNum w:abstractNumId="1" w15:restartNumberingAfterBreak="0">
    <w:nsid w:val="0689762B"/>
    <w:multiLevelType w:val="hybridMultilevel"/>
    <w:tmpl w:val="315AD5B2"/>
    <w:lvl w:ilvl="0" w:tplc="3AC62CAC">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55D8A"/>
    <w:multiLevelType w:val="hybridMultilevel"/>
    <w:tmpl w:val="8D903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F00E6"/>
    <w:multiLevelType w:val="multilevel"/>
    <w:tmpl w:val="F38E3BD2"/>
    <w:lvl w:ilvl="0">
      <w:numFmt w:val="decimal"/>
      <w:lvlText w:val="1.%1."/>
      <w:lvlJc w:val="left"/>
      <w:pPr>
        <w:tabs>
          <w:tab w:val="num" w:pos="720"/>
        </w:tabs>
        <w:ind w:left="720" w:hanging="360"/>
      </w:pPr>
      <w:rPr>
        <w:rFonts w:hint="default"/>
        <w:sz w:val="24"/>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2594C"/>
    <w:multiLevelType w:val="hybridMultilevel"/>
    <w:tmpl w:val="0C883662"/>
    <w:lvl w:ilvl="0" w:tplc="B60A304A">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D4496"/>
    <w:multiLevelType w:val="hybridMultilevel"/>
    <w:tmpl w:val="5AF84C92"/>
    <w:lvl w:ilvl="0" w:tplc="E01420D6">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310FB"/>
    <w:multiLevelType w:val="multilevel"/>
    <w:tmpl w:val="741A87C8"/>
    <w:lvl w:ilvl="0">
      <w:start w:val="1"/>
      <w:numFmt w:val="decimal"/>
      <w:lvlText w:val="%1."/>
      <w:lvlJc w:val="left"/>
      <w:pPr>
        <w:ind w:left="4253" w:hanging="360"/>
      </w:pPr>
      <w:rPr>
        <w:rFonts w:hint="default"/>
        <w:b w:val="0"/>
        <w:i w:val="0"/>
        <w:sz w:val="24"/>
        <w:szCs w:val="40"/>
      </w:rPr>
    </w:lvl>
    <w:lvl w:ilvl="1">
      <w:start w:val="1"/>
      <w:numFmt w:val="bullet"/>
      <w:lvlText w:val=""/>
      <w:lvlJc w:val="left"/>
      <w:pPr>
        <w:ind w:left="7034" w:hanging="360"/>
      </w:pPr>
      <w:rPr>
        <w:rFonts w:ascii="Symbol" w:hAnsi="Symbol" w:hint="default"/>
      </w:rPr>
    </w:lvl>
    <w:lvl w:ilvl="2">
      <w:start w:val="1"/>
      <w:numFmt w:val="bullet"/>
      <w:lvlText w:val=""/>
      <w:lvlJc w:val="left"/>
      <w:pPr>
        <w:ind w:left="7754" w:hanging="360"/>
      </w:pPr>
      <w:rPr>
        <w:rFonts w:ascii="Wingdings" w:hAnsi="Wingdings" w:hint="default"/>
      </w:rPr>
    </w:lvl>
    <w:lvl w:ilvl="3">
      <w:start w:val="1"/>
      <w:numFmt w:val="bullet"/>
      <w:lvlText w:val=""/>
      <w:lvlJc w:val="left"/>
      <w:pPr>
        <w:ind w:left="8474" w:hanging="360"/>
      </w:pPr>
      <w:rPr>
        <w:rFonts w:ascii="Symbol" w:hAnsi="Symbol" w:hint="default"/>
      </w:rPr>
    </w:lvl>
    <w:lvl w:ilvl="4">
      <w:start w:val="1"/>
      <w:numFmt w:val="bullet"/>
      <w:lvlText w:val="o"/>
      <w:lvlJc w:val="left"/>
      <w:pPr>
        <w:ind w:left="9194" w:hanging="360"/>
      </w:pPr>
      <w:rPr>
        <w:rFonts w:ascii="Courier New" w:hAnsi="Courier New" w:hint="default"/>
      </w:rPr>
    </w:lvl>
    <w:lvl w:ilvl="5">
      <w:start w:val="1"/>
      <w:numFmt w:val="bullet"/>
      <w:lvlText w:val=""/>
      <w:lvlJc w:val="left"/>
      <w:pPr>
        <w:ind w:left="9914" w:hanging="360"/>
      </w:pPr>
      <w:rPr>
        <w:rFonts w:ascii="Wingdings" w:hAnsi="Wingdings" w:hint="default"/>
      </w:rPr>
    </w:lvl>
    <w:lvl w:ilvl="6">
      <w:start w:val="1"/>
      <w:numFmt w:val="bullet"/>
      <w:lvlText w:val=""/>
      <w:lvlJc w:val="left"/>
      <w:pPr>
        <w:ind w:left="10634" w:hanging="360"/>
      </w:pPr>
      <w:rPr>
        <w:rFonts w:ascii="Symbol" w:hAnsi="Symbol" w:hint="default"/>
      </w:rPr>
    </w:lvl>
    <w:lvl w:ilvl="7">
      <w:start w:val="1"/>
      <w:numFmt w:val="bullet"/>
      <w:lvlText w:val="o"/>
      <w:lvlJc w:val="left"/>
      <w:pPr>
        <w:ind w:left="11354" w:hanging="360"/>
      </w:pPr>
      <w:rPr>
        <w:rFonts w:ascii="Courier New" w:hAnsi="Courier New" w:hint="default"/>
      </w:rPr>
    </w:lvl>
    <w:lvl w:ilvl="8">
      <w:start w:val="1"/>
      <w:numFmt w:val="bullet"/>
      <w:lvlText w:val=""/>
      <w:lvlJc w:val="left"/>
      <w:pPr>
        <w:ind w:left="12074" w:hanging="360"/>
      </w:pPr>
      <w:rPr>
        <w:rFonts w:ascii="Wingdings" w:hAnsi="Wingdings" w:hint="default"/>
      </w:rPr>
    </w:lvl>
  </w:abstractNum>
  <w:abstractNum w:abstractNumId="7" w15:restartNumberingAfterBreak="0">
    <w:nsid w:val="11313905"/>
    <w:multiLevelType w:val="hybridMultilevel"/>
    <w:tmpl w:val="7BDC344C"/>
    <w:lvl w:ilvl="0" w:tplc="3780930C">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296772"/>
    <w:multiLevelType w:val="hybridMultilevel"/>
    <w:tmpl w:val="3B626F86"/>
    <w:lvl w:ilvl="0" w:tplc="634CD0A0">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F273F5"/>
    <w:multiLevelType w:val="hybridMultilevel"/>
    <w:tmpl w:val="6508581A"/>
    <w:lvl w:ilvl="0" w:tplc="3634D2A0">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95688E"/>
    <w:multiLevelType w:val="hybridMultilevel"/>
    <w:tmpl w:val="6096F7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E6951DF"/>
    <w:multiLevelType w:val="hybridMultilevel"/>
    <w:tmpl w:val="3DDC8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B14148"/>
    <w:multiLevelType w:val="hybridMultilevel"/>
    <w:tmpl w:val="694CFADA"/>
    <w:lvl w:ilvl="0" w:tplc="A7CA6ADE">
      <w:numFmt w:val="decimal"/>
      <w:lvlText w:val="4.%1."/>
      <w:lvlJc w:val="left"/>
      <w:pPr>
        <w:ind w:left="1998" w:hanging="360"/>
      </w:pPr>
      <w:rPr>
        <w:rFonts w:hint="default"/>
      </w:rPr>
    </w:lvl>
    <w:lvl w:ilvl="1" w:tplc="08090019" w:tentative="1">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4" w15:restartNumberingAfterBreak="0">
    <w:nsid w:val="2D6404B0"/>
    <w:multiLevelType w:val="hybridMultilevel"/>
    <w:tmpl w:val="1BC842A2"/>
    <w:lvl w:ilvl="0" w:tplc="4942D2B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341C1E"/>
    <w:multiLevelType w:val="hybridMultilevel"/>
    <w:tmpl w:val="AE82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846E5"/>
    <w:multiLevelType w:val="hybridMultilevel"/>
    <w:tmpl w:val="13BA3A72"/>
    <w:lvl w:ilvl="0" w:tplc="804442D6">
      <w:numFmt w:val="decimal"/>
      <w:lvlText w:val="1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FB3D7C"/>
    <w:multiLevelType w:val="multilevel"/>
    <w:tmpl w:val="BC5A7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4"/>
        <w:szCs w:val="3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85721"/>
    <w:multiLevelType w:val="multilevel"/>
    <w:tmpl w:val="E6D63114"/>
    <w:lvl w:ilvl="0">
      <w:start w:val="1"/>
      <w:numFmt w:val="lowerLetter"/>
      <w:lvlText w:val="%1)"/>
      <w:lvlJc w:val="left"/>
      <w:pPr>
        <w:ind w:left="720" w:hanging="360"/>
      </w:pPr>
    </w:lvl>
    <w:lvl w:ilvl="1">
      <w:numFmt w:val="decimal"/>
      <w:isLgl/>
      <w:lvlText w:val="4.%2"/>
      <w:lvlJc w:val="left"/>
      <w:pPr>
        <w:ind w:left="936" w:hanging="576"/>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440" w:hanging="108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800" w:hanging="144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2160" w:hanging="180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19" w15:restartNumberingAfterBreak="0">
    <w:nsid w:val="468D4E59"/>
    <w:multiLevelType w:val="hybridMultilevel"/>
    <w:tmpl w:val="FD84657C"/>
    <w:lvl w:ilvl="0" w:tplc="69EC1578">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C03C59"/>
    <w:multiLevelType w:val="hybridMultilevel"/>
    <w:tmpl w:val="B944F002"/>
    <w:lvl w:ilvl="0" w:tplc="882EBD80">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FC16DB"/>
    <w:multiLevelType w:val="hybridMultilevel"/>
    <w:tmpl w:val="210889F6"/>
    <w:lvl w:ilvl="0" w:tplc="7AB0432A">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9D6310"/>
    <w:multiLevelType w:val="hybridMultilevel"/>
    <w:tmpl w:val="16F4122E"/>
    <w:lvl w:ilvl="0" w:tplc="41A48B00">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6E3D5D"/>
    <w:multiLevelType w:val="hybridMultilevel"/>
    <w:tmpl w:val="905E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611C3"/>
    <w:multiLevelType w:val="hybridMultilevel"/>
    <w:tmpl w:val="1B166E46"/>
    <w:lvl w:ilvl="0" w:tplc="C576CC1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3E13FE"/>
    <w:multiLevelType w:val="hybridMultilevel"/>
    <w:tmpl w:val="F85449E6"/>
    <w:lvl w:ilvl="0" w:tplc="4A8A158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92025A"/>
    <w:multiLevelType w:val="hybridMultilevel"/>
    <w:tmpl w:val="8D4E6A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BF76B04"/>
    <w:multiLevelType w:val="hybridMultilevel"/>
    <w:tmpl w:val="70EC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53F30"/>
    <w:multiLevelType w:val="hybridMultilevel"/>
    <w:tmpl w:val="CDBE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EB22C0"/>
    <w:multiLevelType w:val="hybridMultilevel"/>
    <w:tmpl w:val="D386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E2EB2"/>
    <w:multiLevelType w:val="hybridMultilevel"/>
    <w:tmpl w:val="4FA4C5F0"/>
    <w:lvl w:ilvl="0" w:tplc="73ECBCCC">
      <w:numFmt w:val="decimal"/>
      <w:lvlText w:val="12.%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1" w15:restartNumberingAfterBreak="0">
    <w:nsid w:val="699546FE"/>
    <w:multiLevelType w:val="hybridMultilevel"/>
    <w:tmpl w:val="698EF96A"/>
    <w:lvl w:ilvl="0" w:tplc="25D021EA">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CD2AA6"/>
    <w:multiLevelType w:val="hybridMultilevel"/>
    <w:tmpl w:val="C30E69CE"/>
    <w:lvl w:ilvl="0" w:tplc="DC3682DC">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096B3E"/>
    <w:multiLevelType w:val="hybridMultilevel"/>
    <w:tmpl w:val="CA026214"/>
    <w:lvl w:ilvl="0" w:tplc="A678F0E2">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C914B8"/>
    <w:multiLevelType w:val="multilevel"/>
    <w:tmpl w:val="4ABEE194"/>
    <w:lvl w:ilvl="0">
      <w:start w:val="1"/>
      <w:numFmt w:val="bullet"/>
      <w:lvlText w:val=""/>
      <w:lvlJc w:val="left"/>
      <w:pPr>
        <w:ind w:left="4253" w:hanging="360"/>
      </w:pPr>
      <w:rPr>
        <w:rFonts w:ascii="Symbol" w:hAnsi="Symbol" w:hint="default"/>
        <w:b w:val="0"/>
        <w:i w:val="0"/>
        <w:sz w:val="16"/>
      </w:rPr>
    </w:lvl>
    <w:lvl w:ilvl="1">
      <w:start w:val="1"/>
      <w:numFmt w:val="bullet"/>
      <w:lvlText w:val=""/>
      <w:lvlJc w:val="left"/>
      <w:pPr>
        <w:ind w:left="7034" w:hanging="360"/>
      </w:pPr>
      <w:rPr>
        <w:rFonts w:ascii="Symbol" w:hAnsi="Symbol" w:hint="default"/>
      </w:rPr>
    </w:lvl>
    <w:lvl w:ilvl="2">
      <w:start w:val="1"/>
      <w:numFmt w:val="bullet"/>
      <w:lvlText w:val=""/>
      <w:lvlJc w:val="left"/>
      <w:pPr>
        <w:ind w:left="7754" w:hanging="360"/>
      </w:pPr>
      <w:rPr>
        <w:rFonts w:ascii="Wingdings" w:hAnsi="Wingdings" w:hint="default"/>
      </w:rPr>
    </w:lvl>
    <w:lvl w:ilvl="3">
      <w:start w:val="1"/>
      <w:numFmt w:val="bullet"/>
      <w:lvlText w:val=""/>
      <w:lvlJc w:val="left"/>
      <w:pPr>
        <w:ind w:left="8474" w:hanging="360"/>
      </w:pPr>
      <w:rPr>
        <w:rFonts w:ascii="Symbol" w:hAnsi="Symbol" w:hint="default"/>
      </w:rPr>
    </w:lvl>
    <w:lvl w:ilvl="4">
      <w:start w:val="1"/>
      <w:numFmt w:val="bullet"/>
      <w:lvlText w:val="o"/>
      <w:lvlJc w:val="left"/>
      <w:pPr>
        <w:ind w:left="9194" w:hanging="360"/>
      </w:pPr>
      <w:rPr>
        <w:rFonts w:ascii="Courier New" w:hAnsi="Courier New" w:hint="default"/>
      </w:rPr>
    </w:lvl>
    <w:lvl w:ilvl="5">
      <w:start w:val="1"/>
      <w:numFmt w:val="bullet"/>
      <w:lvlText w:val=""/>
      <w:lvlJc w:val="left"/>
      <w:pPr>
        <w:ind w:left="9914" w:hanging="360"/>
      </w:pPr>
      <w:rPr>
        <w:rFonts w:ascii="Wingdings" w:hAnsi="Wingdings" w:hint="default"/>
      </w:rPr>
    </w:lvl>
    <w:lvl w:ilvl="6">
      <w:start w:val="1"/>
      <w:numFmt w:val="bullet"/>
      <w:lvlText w:val=""/>
      <w:lvlJc w:val="left"/>
      <w:pPr>
        <w:ind w:left="10634" w:hanging="360"/>
      </w:pPr>
      <w:rPr>
        <w:rFonts w:ascii="Symbol" w:hAnsi="Symbol" w:hint="default"/>
      </w:rPr>
    </w:lvl>
    <w:lvl w:ilvl="7">
      <w:start w:val="1"/>
      <w:numFmt w:val="bullet"/>
      <w:lvlText w:val="o"/>
      <w:lvlJc w:val="left"/>
      <w:pPr>
        <w:ind w:left="11354" w:hanging="360"/>
      </w:pPr>
      <w:rPr>
        <w:rFonts w:ascii="Courier New" w:hAnsi="Courier New" w:hint="default"/>
      </w:rPr>
    </w:lvl>
    <w:lvl w:ilvl="8">
      <w:start w:val="1"/>
      <w:numFmt w:val="bullet"/>
      <w:lvlText w:val=""/>
      <w:lvlJc w:val="left"/>
      <w:pPr>
        <w:ind w:left="12074" w:hanging="360"/>
      </w:pPr>
      <w:rPr>
        <w:rFonts w:ascii="Wingdings" w:hAnsi="Wingdings" w:hint="default"/>
      </w:rPr>
    </w:lvl>
  </w:abstractNum>
  <w:abstractNum w:abstractNumId="35" w15:restartNumberingAfterBreak="0">
    <w:nsid w:val="7BA833C2"/>
    <w:multiLevelType w:val="hybridMultilevel"/>
    <w:tmpl w:val="AC56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5E051A"/>
    <w:multiLevelType w:val="multilevel"/>
    <w:tmpl w:val="1054C334"/>
    <w:lvl w:ilvl="0">
      <w:start w:val="1"/>
      <w:numFmt w:val="decimal"/>
      <w:pStyle w:val="StyleListParagraphLatinFoundryFormSans14ptBoldBefo"/>
      <w:lvlText w:val="%1."/>
      <w:lvlJc w:val="left"/>
      <w:pPr>
        <w:ind w:left="360" w:hanging="360"/>
      </w:pPr>
      <w:rPr>
        <w:b/>
        <w:sz w:val="28"/>
      </w:rPr>
    </w:lvl>
    <w:lvl w:ilvl="1">
      <w:start w:val="1"/>
      <w:numFmt w:val="decimal"/>
      <w:lvlText w:val="%1.%2."/>
      <w:lvlJc w:val="left"/>
      <w:pPr>
        <w:ind w:left="574" w:hanging="432"/>
      </w:pPr>
      <w:rPr>
        <w:b w:val="0"/>
        <w:bCs w:val="0"/>
      </w:rPr>
    </w:lvl>
    <w:lvl w:ilvl="2">
      <w:start w:val="1"/>
      <w:numFmt w:val="lowerRoman"/>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
  </w:num>
  <w:num w:numId="8">
    <w:abstractNumId w:val="17"/>
  </w:num>
  <w:num w:numId="9">
    <w:abstractNumId w:val="23"/>
  </w:num>
  <w:num w:numId="10">
    <w:abstractNumId w:val="0"/>
  </w:num>
  <w:num w:numId="11">
    <w:abstractNumId w:val="6"/>
  </w:num>
  <w:num w:numId="12">
    <w:abstractNumId w:val="27"/>
  </w:num>
  <w:num w:numId="13">
    <w:abstractNumId w:val="28"/>
  </w:num>
  <w:num w:numId="14">
    <w:abstractNumId w:val="29"/>
  </w:num>
  <w:num w:numId="15">
    <w:abstractNumId w:val="35"/>
  </w:num>
  <w:num w:numId="16">
    <w:abstractNumId w:val="2"/>
  </w:num>
  <w:num w:numId="17">
    <w:abstractNumId w:val="12"/>
  </w:num>
  <w:num w:numId="18">
    <w:abstractNumId w:val="15"/>
  </w:num>
  <w:num w:numId="19">
    <w:abstractNumId w:val="4"/>
  </w:num>
  <w:num w:numId="20">
    <w:abstractNumId w:val="24"/>
  </w:num>
  <w:num w:numId="21">
    <w:abstractNumId w:val="9"/>
  </w:num>
  <w:num w:numId="22">
    <w:abstractNumId w:val="8"/>
  </w:num>
  <w:num w:numId="23">
    <w:abstractNumId w:val="13"/>
  </w:num>
  <w:num w:numId="24">
    <w:abstractNumId w:val="25"/>
  </w:num>
  <w:num w:numId="25">
    <w:abstractNumId w:val="7"/>
  </w:num>
  <w:num w:numId="26">
    <w:abstractNumId w:val="21"/>
  </w:num>
  <w:num w:numId="27">
    <w:abstractNumId w:val="33"/>
  </w:num>
  <w:num w:numId="28">
    <w:abstractNumId w:val="19"/>
  </w:num>
  <w:num w:numId="29">
    <w:abstractNumId w:val="22"/>
  </w:num>
  <w:num w:numId="30">
    <w:abstractNumId w:val="1"/>
  </w:num>
  <w:num w:numId="31">
    <w:abstractNumId w:val="5"/>
  </w:num>
  <w:num w:numId="32">
    <w:abstractNumId w:val="32"/>
  </w:num>
  <w:num w:numId="33">
    <w:abstractNumId w:val="30"/>
  </w:num>
  <w:num w:numId="34">
    <w:abstractNumId w:val="31"/>
  </w:num>
  <w:num w:numId="35">
    <w:abstractNumId w:val="14"/>
  </w:num>
  <w:num w:numId="36">
    <w:abstractNumId w:val="20"/>
  </w:num>
  <w:num w:numId="37">
    <w:abstractNumId w:val="16"/>
  </w:num>
  <w:num w:numId="38">
    <w:abstractNumId w:val="0"/>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4029A"/>
    <w:rsid w:val="000474E3"/>
    <w:rsid w:val="0006034E"/>
    <w:rsid w:val="00063783"/>
    <w:rsid w:val="00073765"/>
    <w:rsid w:val="000929A6"/>
    <w:rsid w:val="00095FA1"/>
    <w:rsid w:val="000B5015"/>
    <w:rsid w:val="000B788F"/>
    <w:rsid w:val="000B7C66"/>
    <w:rsid w:val="000D4E36"/>
    <w:rsid w:val="000E0C4A"/>
    <w:rsid w:val="000E62FE"/>
    <w:rsid w:val="00105B8A"/>
    <w:rsid w:val="001161E4"/>
    <w:rsid w:val="00120571"/>
    <w:rsid w:val="00120B08"/>
    <w:rsid w:val="00125A26"/>
    <w:rsid w:val="00136B10"/>
    <w:rsid w:val="001472A8"/>
    <w:rsid w:val="0015376F"/>
    <w:rsid w:val="001614E0"/>
    <w:rsid w:val="00161B54"/>
    <w:rsid w:val="00171BD8"/>
    <w:rsid w:val="0017653E"/>
    <w:rsid w:val="00182B01"/>
    <w:rsid w:val="001840D2"/>
    <w:rsid w:val="001918A4"/>
    <w:rsid w:val="001966D7"/>
    <w:rsid w:val="001A34F8"/>
    <w:rsid w:val="001C4D2E"/>
    <w:rsid w:val="001C7E35"/>
    <w:rsid w:val="001E3C06"/>
    <w:rsid w:val="001F0037"/>
    <w:rsid w:val="001F0BE9"/>
    <w:rsid w:val="001F2235"/>
    <w:rsid w:val="001F520D"/>
    <w:rsid w:val="00202D79"/>
    <w:rsid w:val="00205D2F"/>
    <w:rsid w:val="00215E8F"/>
    <w:rsid w:val="00221A93"/>
    <w:rsid w:val="002322BB"/>
    <w:rsid w:val="002350C2"/>
    <w:rsid w:val="00251254"/>
    <w:rsid w:val="002548D1"/>
    <w:rsid w:val="0027283B"/>
    <w:rsid w:val="0028019B"/>
    <w:rsid w:val="00282E73"/>
    <w:rsid w:val="00283417"/>
    <w:rsid w:val="00283CAB"/>
    <w:rsid w:val="0028525A"/>
    <w:rsid w:val="002A3FEF"/>
    <w:rsid w:val="002A59A4"/>
    <w:rsid w:val="002B54A6"/>
    <w:rsid w:val="002F3EE9"/>
    <w:rsid w:val="002F5A85"/>
    <w:rsid w:val="00307F76"/>
    <w:rsid w:val="00321FBB"/>
    <w:rsid w:val="00330832"/>
    <w:rsid w:val="003313EA"/>
    <w:rsid w:val="00333FAA"/>
    <w:rsid w:val="003355D7"/>
    <w:rsid w:val="00337D90"/>
    <w:rsid w:val="0036001B"/>
    <w:rsid w:val="0036201C"/>
    <w:rsid w:val="00376768"/>
    <w:rsid w:val="00380F87"/>
    <w:rsid w:val="0039144D"/>
    <w:rsid w:val="003B45AC"/>
    <w:rsid w:val="003C270D"/>
    <w:rsid w:val="003F200F"/>
    <w:rsid w:val="003F3AFD"/>
    <w:rsid w:val="004033D4"/>
    <w:rsid w:val="004076C8"/>
    <w:rsid w:val="00416031"/>
    <w:rsid w:val="004207E3"/>
    <w:rsid w:val="00421A4C"/>
    <w:rsid w:val="004238C2"/>
    <w:rsid w:val="00435B5D"/>
    <w:rsid w:val="004363F7"/>
    <w:rsid w:val="00442BD9"/>
    <w:rsid w:val="0044525C"/>
    <w:rsid w:val="004502A6"/>
    <w:rsid w:val="00455066"/>
    <w:rsid w:val="004553F1"/>
    <w:rsid w:val="0047091C"/>
    <w:rsid w:val="00471C1F"/>
    <w:rsid w:val="004809FA"/>
    <w:rsid w:val="00481D20"/>
    <w:rsid w:val="004A264F"/>
    <w:rsid w:val="004C2D09"/>
    <w:rsid w:val="004C4A75"/>
    <w:rsid w:val="004D0C2A"/>
    <w:rsid w:val="004D0F06"/>
    <w:rsid w:val="004D2DA0"/>
    <w:rsid w:val="004E14A4"/>
    <w:rsid w:val="004F54BD"/>
    <w:rsid w:val="004F56C5"/>
    <w:rsid w:val="00506185"/>
    <w:rsid w:val="00517E89"/>
    <w:rsid w:val="005354D0"/>
    <w:rsid w:val="0054172C"/>
    <w:rsid w:val="00545264"/>
    <w:rsid w:val="0054590F"/>
    <w:rsid w:val="005459EC"/>
    <w:rsid w:val="00563EA4"/>
    <w:rsid w:val="0057135F"/>
    <w:rsid w:val="005718B5"/>
    <w:rsid w:val="0057725D"/>
    <w:rsid w:val="005808FB"/>
    <w:rsid w:val="005811F8"/>
    <w:rsid w:val="00582605"/>
    <w:rsid w:val="0058418A"/>
    <w:rsid w:val="00591016"/>
    <w:rsid w:val="005B3F67"/>
    <w:rsid w:val="005D548F"/>
    <w:rsid w:val="005D6EF5"/>
    <w:rsid w:val="005D76E5"/>
    <w:rsid w:val="005E3A10"/>
    <w:rsid w:val="005E7509"/>
    <w:rsid w:val="00601D7F"/>
    <w:rsid w:val="00602DD0"/>
    <w:rsid w:val="00605A4C"/>
    <w:rsid w:val="00610C63"/>
    <w:rsid w:val="00645B8B"/>
    <w:rsid w:val="00647D4B"/>
    <w:rsid w:val="00655044"/>
    <w:rsid w:val="00655D80"/>
    <w:rsid w:val="00660193"/>
    <w:rsid w:val="00663833"/>
    <w:rsid w:val="00666922"/>
    <w:rsid w:val="00670F17"/>
    <w:rsid w:val="006710C7"/>
    <w:rsid w:val="00696A83"/>
    <w:rsid w:val="006C580A"/>
    <w:rsid w:val="006D1E69"/>
    <w:rsid w:val="006D498A"/>
    <w:rsid w:val="006F057C"/>
    <w:rsid w:val="006F22DA"/>
    <w:rsid w:val="006F2EB3"/>
    <w:rsid w:val="00703C0E"/>
    <w:rsid w:val="007116B1"/>
    <w:rsid w:val="00714BEE"/>
    <w:rsid w:val="00721215"/>
    <w:rsid w:val="007400CF"/>
    <w:rsid w:val="00751DD2"/>
    <w:rsid w:val="007739ED"/>
    <w:rsid w:val="007A09A8"/>
    <w:rsid w:val="007B23FC"/>
    <w:rsid w:val="007D0C1D"/>
    <w:rsid w:val="007D2000"/>
    <w:rsid w:val="007D4DBF"/>
    <w:rsid w:val="007D52CB"/>
    <w:rsid w:val="007E4732"/>
    <w:rsid w:val="007E4BA4"/>
    <w:rsid w:val="007F004E"/>
    <w:rsid w:val="007F0E2E"/>
    <w:rsid w:val="007F335A"/>
    <w:rsid w:val="00803104"/>
    <w:rsid w:val="008073CD"/>
    <w:rsid w:val="00812901"/>
    <w:rsid w:val="00824C62"/>
    <w:rsid w:val="00826B9A"/>
    <w:rsid w:val="00842757"/>
    <w:rsid w:val="00843CC2"/>
    <w:rsid w:val="0085266D"/>
    <w:rsid w:val="00857AA5"/>
    <w:rsid w:val="00896497"/>
    <w:rsid w:val="008A4061"/>
    <w:rsid w:val="008A5AA0"/>
    <w:rsid w:val="008C2C66"/>
    <w:rsid w:val="008D7E75"/>
    <w:rsid w:val="008E224D"/>
    <w:rsid w:val="008F2670"/>
    <w:rsid w:val="0092530B"/>
    <w:rsid w:val="009341A6"/>
    <w:rsid w:val="0094208C"/>
    <w:rsid w:val="00942F17"/>
    <w:rsid w:val="00943236"/>
    <w:rsid w:val="00952CEF"/>
    <w:rsid w:val="00955421"/>
    <w:rsid w:val="009563D2"/>
    <w:rsid w:val="00990E9C"/>
    <w:rsid w:val="00994542"/>
    <w:rsid w:val="00994908"/>
    <w:rsid w:val="009B160B"/>
    <w:rsid w:val="009C237B"/>
    <w:rsid w:val="009C4DD1"/>
    <w:rsid w:val="009D3067"/>
    <w:rsid w:val="009D4465"/>
    <w:rsid w:val="009D65F5"/>
    <w:rsid w:val="009E5A93"/>
    <w:rsid w:val="009E71F8"/>
    <w:rsid w:val="009F3154"/>
    <w:rsid w:val="00A04551"/>
    <w:rsid w:val="00A1211C"/>
    <w:rsid w:val="00A20113"/>
    <w:rsid w:val="00A20D78"/>
    <w:rsid w:val="00A2215F"/>
    <w:rsid w:val="00A22839"/>
    <w:rsid w:val="00A23E19"/>
    <w:rsid w:val="00A33185"/>
    <w:rsid w:val="00A352F2"/>
    <w:rsid w:val="00A402D8"/>
    <w:rsid w:val="00A53B04"/>
    <w:rsid w:val="00A661F4"/>
    <w:rsid w:val="00A66326"/>
    <w:rsid w:val="00A7271A"/>
    <w:rsid w:val="00A733A7"/>
    <w:rsid w:val="00A74536"/>
    <w:rsid w:val="00A74D79"/>
    <w:rsid w:val="00A81E19"/>
    <w:rsid w:val="00A871A5"/>
    <w:rsid w:val="00A9723B"/>
    <w:rsid w:val="00AA6F2D"/>
    <w:rsid w:val="00AA7F17"/>
    <w:rsid w:val="00AB795F"/>
    <w:rsid w:val="00AC6312"/>
    <w:rsid w:val="00AD1E77"/>
    <w:rsid w:val="00AD6D80"/>
    <w:rsid w:val="00AF6503"/>
    <w:rsid w:val="00B038AE"/>
    <w:rsid w:val="00B1160D"/>
    <w:rsid w:val="00B139FB"/>
    <w:rsid w:val="00B24B13"/>
    <w:rsid w:val="00B3329F"/>
    <w:rsid w:val="00B34EFD"/>
    <w:rsid w:val="00B4145A"/>
    <w:rsid w:val="00B41533"/>
    <w:rsid w:val="00B444E6"/>
    <w:rsid w:val="00B52011"/>
    <w:rsid w:val="00B53EFF"/>
    <w:rsid w:val="00B54AFA"/>
    <w:rsid w:val="00B6453B"/>
    <w:rsid w:val="00B671A4"/>
    <w:rsid w:val="00B72640"/>
    <w:rsid w:val="00B804E8"/>
    <w:rsid w:val="00B96EB7"/>
    <w:rsid w:val="00BA5614"/>
    <w:rsid w:val="00BC137F"/>
    <w:rsid w:val="00BC206C"/>
    <w:rsid w:val="00BC431A"/>
    <w:rsid w:val="00BF5AFA"/>
    <w:rsid w:val="00BF6D8A"/>
    <w:rsid w:val="00C01A35"/>
    <w:rsid w:val="00C03772"/>
    <w:rsid w:val="00C04EDA"/>
    <w:rsid w:val="00C119A2"/>
    <w:rsid w:val="00C15DE2"/>
    <w:rsid w:val="00C365B6"/>
    <w:rsid w:val="00C5012C"/>
    <w:rsid w:val="00C53F1A"/>
    <w:rsid w:val="00C57267"/>
    <w:rsid w:val="00C616FF"/>
    <w:rsid w:val="00C62B63"/>
    <w:rsid w:val="00C65A06"/>
    <w:rsid w:val="00C72B5B"/>
    <w:rsid w:val="00C869F3"/>
    <w:rsid w:val="00C870B1"/>
    <w:rsid w:val="00C95416"/>
    <w:rsid w:val="00CB19EE"/>
    <w:rsid w:val="00CC08EF"/>
    <w:rsid w:val="00CC18AC"/>
    <w:rsid w:val="00CD7D5D"/>
    <w:rsid w:val="00CF0621"/>
    <w:rsid w:val="00CF0FC4"/>
    <w:rsid w:val="00CF6932"/>
    <w:rsid w:val="00D01FE3"/>
    <w:rsid w:val="00D0381E"/>
    <w:rsid w:val="00D06CA3"/>
    <w:rsid w:val="00D07F46"/>
    <w:rsid w:val="00D170E5"/>
    <w:rsid w:val="00D2728C"/>
    <w:rsid w:val="00D37F2F"/>
    <w:rsid w:val="00D415B9"/>
    <w:rsid w:val="00D45C63"/>
    <w:rsid w:val="00D528E8"/>
    <w:rsid w:val="00D57DE9"/>
    <w:rsid w:val="00D771D0"/>
    <w:rsid w:val="00D835CF"/>
    <w:rsid w:val="00D843D6"/>
    <w:rsid w:val="00D941F9"/>
    <w:rsid w:val="00DA176F"/>
    <w:rsid w:val="00DA26FB"/>
    <w:rsid w:val="00DA36BE"/>
    <w:rsid w:val="00DB6C3D"/>
    <w:rsid w:val="00DC0556"/>
    <w:rsid w:val="00DC5ACF"/>
    <w:rsid w:val="00DD3573"/>
    <w:rsid w:val="00DD7468"/>
    <w:rsid w:val="00DE25E9"/>
    <w:rsid w:val="00DE71D3"/>
    <w:rsid w:val="00DE72CF"/>
    <w:rsid w:val="00DF08A0"/>
    <w:rsid w:val="00E13BEF"/>
    <w:rsid w:val="00E70760"/>
    <w:rsid w:val="00E8216C"/>
    <w:rsid w:val="00E9253C"/>
    <w:rsid w:val="00E93B3B"/>
    <w:rsid w:val="00EB3CF0"/>
    <w:rsid w:val="00EB45B5"/>
    <w:rsid w:val="00EB5E57"/>
    <w:rsid w:val="00EB61DB"/>
    <w:rsid w:val="00ED1AD0"/>
    <w:rsid w:val="00ED1ECB"/>
    <w:rsid w:val="00ED4AFD"/>
    <w:rsid w:val="00ED6776"/>
    <w:rsid w:val="00EE4FBE"/>
    <w:rsid w:val="00EF27B8"/>
    <w:rsid w:val="00F038A1"/>
    <w:rsid w:val="00F06E4E"/>
    <w:rsid w:val="00F238E0"/>
    <w:rsid w:val="00F50081"/>
    <w:rsid w:val="00F51E01"/>
    <w:rsid w:val="00F5649A"/>
    <w:rsid w:val="00F67DC5"/>
    <w:rsid w:val="00F74B49"/>
    <w:rsid w:val="00F82342"/>
    <w:rsid w:val="00F877DB"/>
    <w:rsid w:val="00F91AE4"/>
    <w:rsid w:val="00F93C8B"/>
    <w:rsid w:val="00F959DD"/>
    <w:rsid w:val="00F960D5"/>
    <w:rsid w:val="00FB0FDC"/>
    <w:rsid w:val="00FB1231"/>
    <w:rsid w:val="00FC1C5C"/>
    <w:rsid w:val="00FD089A"/>
    <w:rsid w:val="00FD4E2A"/>
    <w:rsid w:val="00FE17E2"/>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D57DE9"/>
    <w:rPr>
      <w:rFonts w:ascii="Arial" w:hAnsi="Arial"/>
      <w:sz w:val="24"/>
      <w:lang w:eastAsia="en-US"/>
    </w:rPr>
  </w:style>
  <w:style w:type="paragraph" w:customStyle="1" w:styleId="StyleListParagraphLatinFoundryFormSans14ptBoldBefo">
    <w:name w:val="Style List Paragraph + (Latin) Foundry Form Sans 14 pt Bold Befo..."/>
    <w:basedOn w:val="ListParagraph"/>
    <w:rsid w:val="009E71F8"/>
    <w:pPr>
      <w:numPr>
        <w:numId w:val="5"/>
      </w:numPr>
      <w:tabs>
        <w:tab w:val="num" w:pos="360"/>
        <w:tab w:val="left" w:pos="720"/>
        <w:tab w:val="left" w:pos="1260"/>
      </w:tabs>
      <w:spacing w:before="240" w:after="120" w:line="276" w:lineRule="auto"/>
      <w:ind w:left="720" w:firstLine="0"/>
    </w:pPr>
    <w:rPr>
      <w:rFonts w:ascii="Foundry Form Sans" w:hAnsi="Foundry Form Sans"/>
      <w:b/>
      <w:bCs/>
      <w:sz w:val="28"/>
      <w:lang w:val="en-US"/>
    </w:rPr>
  </w:style>
  <w:style w:type="paragraph" w:styleId="Revision">
    <w:name w:val="Revision"/>
    <w:hidden/>
    <w:uiPriority w:val="99"/>
    <w:semiHidden/>
    <w:rsid w:val="0058418A"/>
    <w:rPr>
      <w:rFonts w:ascii="Arial" w:hAnsi="Arial"/>
      <w:sz w:val="24"/>
      <w:lang w:eastAsia="en-US"/>
    </w:rPr>
  </w:style>
  <w:style w:type="paragraph" w:styleId="ListNumber">
    <w:name w:val="List Number"/>
    <w:basedOn w:val="Normal"/>
    <w:uiPriority w:val="2"/>
    <w:qFormat/>
    <w:rsid w:val="00D843D6"/>
    <w:pPr>
      <w:numPr>
        <w:numId w:val="10"/>
      </w:numPr>
      <w:spacing w:before="120" w:after="120"/>
    </w:pPr>
    <w:rPr>
      <w:rFonts w:eastAsia="Arial"/>
      <w:color w:val="4E4E50"/>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14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4248593">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14048179">
      <w:bodyDiv w:val="1"/>
      <w:marLeft w:val="0"/>
      <w:marRight w:val="0"/>
      <w:marTop w:val="0"/>
      <w:marBottom w:val="0"/>
      <w:divBdr>
        <w:top w:val="none" w:sz="0" w:space="0" w:color="auto"/>
        <w:left w:val="none" w:sz="0" w:space="0" w:color="auto"/>
        <w:bottom w:val="none" w:sz="0" w:space="0" w:color="auto"/>
        <w:right w:val="none" w:sz="0" w:space="0" w:color="auto"/>
      </w:divBdr>
    </w:div>
    <w:div w:id="233587664">
      <w:bodyDiv w:val="1"/>
      <w:marLeft w:val="0"/>
      <w:marRight w:val="0"/>
      <w:marTop w:val="0"/>
      <w:marBottom w:val="0"/>
      <w:divBdr>
        <w:top w:val="none" w:sz="0" w:space="0" w:color="auto"/>
        <w:left w:val="none" w:sz="0" w:space="0" w:color="auto"/>
        <w:bottom w:val="none" w:sz="0" w:space="0" w:color="auto"/>
        <w:right w:val="none" w:sz="0" w:space="0" w:color="auto"/>
      </w:divBdr>
    </w:div>
    <w:div w:id="289216030">
      <w:bodyDiv w:val="1"/>
      <w:marLeft w:val="0"/>
      <w:marRight w:val="0"/>
      <w:marTop w:val="0"/>
      <w:marBottom w:val="0"/>
      <w:divBdr>
        <w:top w:val="none" w:sz="0" w:space="0" w:color="auto"/>
        <w:left w:val="none" w:sz="0" w:space="0" w:color="auto"/>
        <w:bottom w:val="none" w:sz="0" w:space="0" w:color="auto"/>
        <w:right w:val="none" w:sz="0" w:space="0" w:color="auto"/>
      </w:divBdr>
    </w:div>
    <w:div w:id="376927883">
      <w:bodyDiv w:val="1"/>
      <w:marLeft w:val="0"/>
      <w:marRight w:val="0"/>
      <w:marTop w:val="0"/>
      <w:marBottom w:val="0"/>
      <w:divBdr>
        <w:top w:val="none" w:sz="0" w:space="0" w:color="auto"/>
        <w:left w:val="none" w:sz="0" w:space="0" w:color="auto"/>
        <w:bottom w:val="none" w:sz="0" w:space="0" w:color="auto"/>
        <w:right w:val="none" w:sz="0" w:space="0" w:color="auto"/>
      </w:divBdr>
    </w:div>
    <w:div w:id="444426283">
      <w:bodyDiv w:val="1"/>
      <w:marLeft w:val="0"/>
      <w:marRight w:val="0"/>
      <w:marTop w:val="0"/>
      <w:marBottom w:val="0"/>
      <w:divBdr>
        <w:top w:val="none" w:sz="0" w:space="0" w:color="auto"/>
        <w:left w:val="none" w:sz="0" w:space="0" w:color="auto"/>
        <w:bottom w:val="none" w:sz="0" w:space="0" w:color="auto"/>
        <w:right w:val="none" w:sz="0" w:space="0" w:color="auto"/>
      </w:divBdr>
    </w:div>
    <w:div w:id="453519780">
      <w:bodyDiv w:val="1"/>
      <w:marLeft w:val="0"/>
      <w:marRight w:val="0"/>
      <w:marTop w:val="0"/>
      <w:marBottom w:val="0"/>
      <w:divBdr>
        <w:top w:val="none" w:sz="0" w:space="0" w:color="auto"/>
        <w:left w:val="none" w:sz="0" w:space="0" w:color="auto"/>
        <w:bottom w:val="none" w:sz="0" w:space="0" w:color="auto"/>
        <w:right w:val="none" w:sz="0" w:space="0" w:color="auto"/>
      </w:divBdr>
    </w:div>
    <w:div w:id="5012860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41813893">
      <w:bodyDiv w:val="1"/>
      <w:marLeft w:val="0"/>
      <w:marRight w:val="0"/>
      <w:marTop w:val="0"/>
      <w:marBottom w:val="0"/>
      <w:divBdr>
        <w:top w:val="none" w:sz="0" w:space="0" w:color="auto"/>
        <w:left w:val="none" w:sz="0" w:space="0" w:color="auto"/>
        <w:bottom w:val="none" w:sz="0" w:space="0" w:color="auto"/>
        <w:right w:val="none" w:sz="0" w:space="0" w:color="auto"/>
      </w:divBdr>
    </w:div>
    <w:div w:id="648752923">
      <w:bodyDiv w:val="1"/>
      <w:marLeft w:val="0"/>
      <w:marRight w:val="0"/>
      <w:marTop w:val="0"/>
      <w:marBottom w:val="0"/>
      <w:divBdr>
        <w:top w:val="none" w:sz="0" w:space="0" w:color="auto"/>
        <w:left w:val="none" w:sz="0" w:space="0" w:color="auto"/>
        <w:bottom w:val="none" w:sz="0" w:space="0" w:color="auto"/>
        <w:right w:val="none" w:sz="0" w:space="0" w:color="auto"/>
      </w:divBdr>
    </w:div>
    <w:div w:id="715542962">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03500206">
      <w:bodyDiv w:val="1"/>
      <w:marLeft w:val="0"/>
      <w:marRight w:val="0"/>
      <w:marTop w:val="0"/>
      <w:marBottom w:val="0"/>
      <w:divBdr>
        <w:top w:val="none" w:sz="0" w:space="0" w:color="auto"/>
        <w:left w:val="none" w:sz="0" w:space="0" w:color="auto"/>
        <w:bottom w:val="none" w:sz="0" w:space="0" w:color="auto"/>
        <w:right w:val="none" w:sz="0" w:space="0" w:color="auto"/>
      </w:divBdr>
    </w:div>
    <w:div w:id="821772913">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68361054">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87636203">
      <w:bodyDiv w:val="1"/>
      <w:marLeft w:val="0"/>
      <w:marRight w:val="0"/>
      <w:marTop w:val="0"/>
      <w:marBottom w:val="0"/>
      <w:divBdr>
        <w:top w:val="none" w:sz="0" w:space="0" w:color="auto"/>
        <w:left w:val="none" w:sz="0" w:space="0" w:color="auto"/>
        <w:bottom w:val="none" w:sz="0" w:space="0" w:color="auto"/>
        <w:right w:val="none" w:sz="0" w:space="0" w:color="auto"/>
      </w:divBdr>
    </w:div>
    <w:div w:id="1005594010">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1611887">
      <w:bodyDiv w:val="1"/>
      <w:marLeft w:val="0"/>
      <w:marRight w:val="0"/>
      <w:marTop w:val="0"/>
      <w:marBottom w:val="0"/>
      <w:divBdr>
        <w:top w:val="none" w:sz="0" w:space="0" w:color="auto"/>
        <w:left w:val="none" w:sz="0" w:space="0" w:color="auto"/>
        <w:bottom w:val="none" w:sz="0" w:space="0" w:color="auto"/>
        <w:right w:val="none" w:sz="0" w:space="0" w:color="auto"/>
      </w:divBdr>
    </w:div>
    <w:div w:id="1064376486">
      <w:bodyDiv w:val="1"/>
      <w:marLeft w:val="0"/>
      <w:marRight w:val="0"/>
      <w:marTop w:val="0"/>
      <w:marBottom w:val="0"/>
      <w:divBdr>
        <w:top w:val="none" w:sz="0" w:space="0" w:color="auto"/>
        <w:left w:val="none" w:sz="0" w:space="0" w:color="auto"/>
        <w:bottom w:val="none" w:sz="0" w:space="0" w:color="auto"/>
        <w:right w:val="none" w:sz="0" w:space="0" w:color="auto"/>
      </w:divBdr>
    </w:div>
    <w:div w:id="1068571444">
      <w:bodyDiv w:val="1"/>
      <w:marLeft w:val="0"/>
      <w:marRight w:val="0"/>
      <w:marTop w:val="0"/>
      <w:marBottom w:val="0"/>
      <w:divBdr>
        <w:top w:val="none" w:sz="0" w:space="0" w:color="auto"/>
        <w:left w:val="none" w:sz="0" w:space="0" w:color="auto"/>
        <w:bottom w:val="none" w:sz="0" w:space="0" w:color="auto"/>
        <w:right w:val="none" w:sz="0" w:space="0" w:color="auto"/>
      </w:divBdr>
    </w:div>
    <w:div w:id="1068768699">
      <w:bodyDiv w:val="1"/>
      <w:marLeft w:val="0"/>
      <w:marRight w:val="0"/>
      <w:marTop w:val="0"/>
      <w:marBottom w:val="0"/>
      <w:divBdr>
        <w:top w:val="none" w:sz="0" w:space="0" w:color="auto"/>
        <w:left w:val="none" w:sz="0" w:space="0" w:color="auto"/>
        <w:bottom w:val="none" w:sz="0" w:space="0" w:color="auto"/>
        <w:right w:val="none" w:sz="0" w:space="0" w:color="auto"/>
      </w:divBdr>
    </w:div>
    <w:div w:id="1076438457">
      <w:bodyDiv w:val="1"/>
      <w:marLeft w:val="0"/>
      <w:marRight w:val="0"/>
      <w:marTop w:val="0"/>
      <w:marBottom w:val="0"/>
      <w:divBdr>
        <w:top w:val="none" w:sz="0" w:space="0" w:color="auto"/>
        <w:left w:val="none" w:sz="0" w:space="0" w:color="auto"/>
        <w:bottom w:val="none" w:sz="0" w:space="0" w:color="auto"/>
        <w:right w:val="none" w:sz="0" w:space="0" w:color="auto"/>
      </w:divBdr>
    </w:div>
    <w:div w:id="1077748295">
      <w:bodyDiv w:val="1"/>
      <w:marLeft w:val="0"/>
      <w:marRight w:val="0"/>
      <w:marTop w:val="0"/>
      <w:marBottom w:val="0"/>
      <w:divBdr>
        <w:top w:val="none" w:sz="0" w:space="0" w:color="auto"/>
        <w:left w:val="none" w:sz="0" w:space="0" w:color="auto"/>
        <w:bottom w:val="none" w:sz="0" w:space="0" w:color="auto"/>
        <w:right w:val="none" w:sz="0" w:space="0" w:color="auto"/>
      </w:divBdr>
    </w:div>
    <w:div w:id="1161314533">
      <w:bodyDiv w:val="1"/>
      <w:marLeft w:val="0"/>
      <w:marRight w:val="0"/>
      <w:marTop w:val="0"/>
      <w:marBottom w:val="0"/>
      <w:divBdr>
        <w:top w:val="none" w:sz="0" w:space="0" w:color="auto"/>
        <w:left w:val="none" w:sz="0" w:space="0" w:color="auto"/>
        <w:bottom w:val="none" w:sz="0" w:space="0" w:color="auto"/>
        <w:right w:val="none" w:sz="0" w:space="0" w:color="auto"/>
      </w:divBdr>
    </w:div>
    <w:div w:id="1194419859">
      <w:bodyDiv w:val="1"/>
      <w:marLeft w:val="0"/>
      <w:marRight w:val="0"/>
      <w:marTop w:val="0"/>
      <w:marBottom w:val="0"/>
      <w:divBdr>
        <w:top w:val="none" w:sz="0" w:space="0" w:color="auto"/>
        <w:left w:val="none" w:sz="0" w:space="0" w:color="auto"/>
        <w:bottom w:val="none" w:sz="0" w:space="0" w:color="auto"/>
        <w:right w:val="none" w:sz="0" w:space="0" w:color="auto"/>
      </w:divBdr>
    </w:div>
    <w:div w:id="1211112890">
      <w:bodyDiv w:val="1"/>
      <w:marLeft w:val="0"/>
      <w:marRight w:val="0"/>
      <w:marTop w:val="0"/>
      <w:marBottom w:val="0"/>
      <w:divBdr>
        <w:top w:val="none" w:sz="0" w:space="0" w:color="auto"/>
        <w:left w:val="none" w:sz="0" w:space="0" w:color="auto"/>
        <w:bottom w:val="none" w:sz="0" w:space="0" w:color="auto"/>
        <w:right w:val="none" w:sz="0" w:space="0" w:color="auto"/>
      </w:divBdr>
    </w:div>
    <w:div w:id="1328821029">
      <w:bodyDiv w:val="1"/>
      <w:marLeft w:val="0"/>
      <w:marRight w:val="0"/>
      <w:marTop w:val="0"/>
      <w:marBottom w:val="0"/>
      <w:divBdr>
        <w:top w:val="none" w:sz="0" w:space="0" w:color="auto"/>
        <w:left w:val="none" w:sz="0" w:space="0" w:color="auto"/>
        <w:bottom w:val="none" w:sz="0" w:space="0" w:color="auto"/>
        <w:right w:val="none" w:sz="0" w:space="0" w:color="auto"/>
      </w:divBdr>
    </w:div>
    <w:div w:id="1631401938">
      <w:bodyDiv w:val="1"/>
      <w:marLeft w:val="0"/>
      <w:marRight w:val="0"/>
      <w:marTop w:val="0"/>
      <w:marBottom w:val="0"/>
      <w:divBdr>
        <w:top w:val="none" w:sz="0" w:space="0" w:color="auto"/>
        <w:left w:val="none" w:sz="0" w:space="0" w:color="auto"/>
        <w:bottom w:val="none" w:sz="0" w:space="0" w:color="auto"/>
        <w:right w:val="none" w:sz="0" w:space="0" w:color="auto"/>
      </w:divBdr>
    </w:div>
    <w:div w:id="1722365433">
      <w:bodyDiv w:val="1"/>
      <w:marLeft w:val="0"/>
      <w:marRight w:val="0"/>
      <w:marTop w:val="0"/>
      <w:marBottom w:val="0"/>
      <w:divBdr>
        <w:top w:val="none" w:sz="0" w:space="0" w:color="auto"/>
        <w:left w:val="none" w:sz="0" w:space="0" w:color="auto"/>
        <w:bottom w:val="none" w:sz="0" w:space="0" w:color="auto"/>
        <w:right w:val="none" w:sz="0" w:space="0" w:color="auto"/>
      </w:divBdr>
    </w:div>
    <w:div w:id="1977686042">
      <w:bodyDiv w:val="1"/>
      <w:marLeft w:val="0"/>
      <w:marRight w:val="0"/>
      <w:marTop w:val="0"/>
      <w:marBottom w:val="0"/>
      <w:divBdr>
        <w:top w:val="none" w:sz="0" w:space="0" w:color="auto"/>
        <w:left w:val="none" w:sz="0" w:space="0" w:color="auto"/>
        <w:bottom w:val="none" w:sz="0" w:space="0" w:color="auto"/>
        <w:right w:val="none" w:sz="0" w:space="0" w:color="auto"/>
      </w:divBdr>
    </w:div>
    <w:div w:id="1985232000">
      <w:bodyDiv w:val="1"/>
      <w:marLeft w:val="0"/>
      <w:marRight w:val="0"/>
      <w:marTop w:val="0"/>
      <w:marBottom w:val="0"/>
      <w:divBdr>
        <w:top w:val="none" w:sz="0" w:space="0" w:color="auto"/>
        <w:left w:val="none" w:sz="0" w:space="0" w:color="auto"/>
        <w:bottom w:val="none" w:sz="0" w:space="0" w:color="auto"/>
        <w:right w:val="none" w:sz="0" w:space="0" w:color="auto"/>
      </w:divBdr>
    </w:div>
    <w:div w:id="2036031598">
      <w:bodyDiv w:val="1"/>
      <w:marLeft w:val="0"/>
      <w:marRight w:val="0"/>
      <w:marTop w:val="0"/>
      <w:marBottom w:val="0"/>
      <w:divBdr>
        <w:top w:val="none" w:sz="0" w:space="0" w:color="auto"/>
        <w:left w:val="none" w:sz="0" w:space="0" w:color="auto"/>
        <w:bottom w:val="none" w:sz="0" w:space="0" w:color="auto"/>
        <w:right w:val="none" w:sz="0" w:space="0" w:color="auto"/>
      </w:divBdr>
    </w:div>
    <w:div w:id="20628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wn.calvert@harrow.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48fdd5af-7127-4349-9ef8-8ec3aedfe79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84E9FF5-B247-462B-9F0E-A20DCEB53044}">
  <ds:schemaRefs>
    <ds:schemaRef ds:uri="http://schemas.openxmlformats.org/officeDocument/2006/bibliography"/>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7368</Words>
  <Characters>38106</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45384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Daksha Ghelani</cp:lastModifiedBy>
  <cp:revision>3</cp:revision>
  <cp:lastPrinted>2014-10-31T16:34:00Z</cp:lastPrinted>
  <dcterms:created xsi:type="dcterms:W3CDTF">2021-12-01T14:46:00Z</dcterms:created>
  <dcterms:modified xsi:type="dcterms:W3CDTF">2021-12-10T15:59:00Z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